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22933AF9"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132B2B" w:rsidRPr="009D53E5">
        <w:rPr>
          <w:b/>
          <w:bCs/>
          <w:sz w:val="36"/>
          <w:szCs w:val="36"/>
        </w:rPr>
        <w:t xml:space="preserve">Evaluation </w:t>
      </w:r>
      <w:r w:rsidR="00132B2B">
        <w:rPr>
          <w:b/>
          <w:bCs/>
          <w:sz w:val="36"/>
          <w:szCs w:val="36"/>
        </w:rPr>
        <w:t>o</w:t>
      </w:r>
      <w:r w:rsidR="00132B2B" w:rsidRPr="009D53E5">
        <w:rPr>
          <w:b/>
          <w:bCs/>
          <w:sz w:val="36"/>
          <w:szCs w:val="36"/>
        </w:rPr>
        <w:t xml:space="preserve">f Hemodynamics and Plaque Morphology </w:t>
      </w:r>
      <w:r w:rsidR="00132B2B">
        <w:rPr>
          <w:b/>
          <w:bCs/>
          <w:sz w:val="36"/>
          <w:szCs w:val="36"/>
        </w:rPr>
        <w:t>i</w:t>
      </w:r>
      <w:r w:rsidR="00132B2B" w:rsidRPr="009D53E5">
        <w:rPr>
          <w:b/>
          <w:bCs/>
          <w:sz w:val="36"/>
          <w:szCs w:val="36"/>
        </w:rPr>
        <w:t xml:space="preserve">n Patients </w:t>
      </w:r>
      <w:r w:rsidR="00132B2B">
        <w:rPr>
          <w:b/>
          <w:bCs/>
          <w:sz w:val="36"/>
          <w:szCs w:val="36"/>
        </w:rPr>
        <w:t>w</w:t>
      </w:r>
      <w:r w:rsidR="00132B2B" w:rsidRPr="009D53E5">
        <w:rPr>
          <w:b/>
          <w:bCs/>
          <w:sz w:val="36"/>
          <w:szCs w:val="36"/>
        </w:rPr>
        <w:t xml:space="preserve">ith Atherothrombotic Lesion </w:t>
      </w:r>
      <w:r w:rsidR="00132B2B">
        <w:rPr>
          <w:b/>
          <w:bCs/>
          <w:sz w:val="36"/>
          <w:szCs w:val="36"/>
        </w:rPr>
        <w:t>o</w:t>
      </w:r>
      <w:r w:rsidR="00132B2B" w:rsidRPr="009D53E5">
        <w:rPr>
          <w:b/>
          <w:bCs/>
          <w:sz w:val="36"/>
          <w:szCs w:val="36"/>
        </w:rPr>
        <w:t>f Extracranial Arteries</w:t>
      </w:r>
    </w:p>
    <w:p w14:paraId="038BB231" w14:textId="1FDAF52F" w:rsidR="000931CF" w:rsidRDefault="009D53E5" w:rsidP="00263A35">
      <w:pPr>
        <w:rPr>
          <w:b/>
          <w:sz w:val="18"/>
          <w:szCs w:val="20"/>
        </w:rPr>
      </w:pPr>
      <w:r w:rsidRPr="009D53E5">
        <w:rPr>
          <w:b/>
          <w:sz w:val="18"/>
          <w:szCs w:val="20"/>
        </w:rPr>
        <w:t xml:space="preserve">Nargiza Abdullaeva, </w:t>
      </w:r>
      <w:proofErr w:type="spellStart"/>
      <w:r w:rsidRPr="009D53E5">
        <w:rPr>
          <w:b/>
          <w:sz w:val="18"/>
          <w:szCs w:val="20"/>
        </w:rPr>
        <w:t>Sardorbek</w:t>
      </w:r>
      <w:proofErr w:type="spellEnd"/>
      <w:r w:rsidRPr="009D53E5">
        <w:rPr>
          <w:b/>
          <w:sz w:val="18"/>
          <w:szCs w:val="20"/>
        </w:rPr>
        <w:t xml:space="preserve"> Yuldashev,</w:t>
      </w:r>
    </w:p>
    <w:p w14:paraId="392F3BB2" w14:textId="77777777" w:rsidR="00132B2B" w:rsidRDefault="00132B2B" w:rsidP="00263A35">
      <w:pPr>
        <w:rPr>
          <w:bCs/>
          <w:sz w:val="16"/>
          <w:szCs w:val="20"/>
        </w:rPr>
      </w:pPr>
    </w:p>
    <w:p w14:paraId="401EB465" w14:textId="78146D23" w:rsidR="009D53E5" w:rsidRPr="009D53E5" w:rsidRDefault="009D53E5" w:rsidP="009D53E5">
      <w:pPr>
        <w:rPr>
          <w:bCs/>
          <w:sz w:val="16"/>
          <w:szCs w:val="20"/>
        </w:rPr>
      </w:pPr>
      <w:r w:rsidRPr="009D53E5">
        <w:rPr>
          <w:bCs/>
          <w:sz w:val="16"/>
          <w:szCs w:val="20"/>
        </w:rPr>
        <w:t xml:space="preserve">Samarkand State Medical Institute, Uzbekistan. </w:t>
      </w:r>
      <w:hyperlink r:id="rId9" w:history="1">
        <w:r w:rsidRPr="0008360F">
          <w:rPr>
            <w:rStyle w:val="Hyperlink"/>
            <w:bCs/>
            <w:sz w:val="16"/>
            <w:szCs w:val="20"/>
          </w:rPr>
          <w:t>https://orcid.org/0009-0002-9238-7769</w:t>
        </w:r>
      </w:hyperlink>
      <w:r w:rsidRPr="009D53E5">
        <w:rPr>
          <w:bCs/>
          <w:sz w:val="16"/>
          <w:szCs w:val="20"/>
        </w:rPr>
        <w:t>,</w:t>
      </w:r>
      <w:r>
        <w:rPr>
          <w:bCs/>
          <w:sz w:val="16"/>
          <w:szCs w:val="20"/>
        </w:rPr>
        <w:t xml:space="preserve"> </w:t>
      </w:r>
      <w:hyperlink r:id="rId10" w:history="1">
        <w:r w:rsidRPr="0008360F">
          <w:rPr>
            <w:rStyle w:val="Hyperlink"/>
            <w:bCs/>
            <w:sz w:val="16"/>
            <w:szCs w:val="20"/>
          </w:rPr>
          <w:t>davolashishlari@sammi.uz</w:t>
        </w:r>
      </w:hyperlink>
      <w:r>
        <w:rPr>
          <w:bCs/>
          <w:sz w:val="16"/>
          <w:szCs w:val="20"/>
        </w:rPr>
        <w:t xml:space="preserve"> </w:t>
      </w:r>
    </w:p>
    <w:p w14:paraId="23FD77C3" w14:textId="50AFD56E" w:rsidR="000931CF" w:rsidRPr="00727D32" w:rsidRDefault="009D53E5" w:rsidP="009D53E5">
      <w:pPr>
        <w:rPr>
          <w:bCs/>
          <w:sz w:val="16"/>
          <w:szCs w:val="20"/>
        </w:rPr>
      </w:pPr>
      <w:r w:rsidRPr="009D53E5">
        <w:rPr>
          <w:bCs/>
          <w:sz w:val="16"/>
          <w:szCs w:val="20"/>
        </w:rPr>
        <w:t xml:space="preserve">Samarkand State Medical Institute, Uzbekistan. </w:t>
      </w:r>
      <w:hyperlink r:id="rId11" w:history="1">
        <w:r w:rsidRPr="0008360F">
          <w:rPr>
            <w:rStyle w:val="Hyperlink"/>
            <w:bCs/>
            <w:sz w:val="16"/>
            <w:szCs w:val="20"/>
          </w:rPr>
          <w:t>https://orcid.org/0009-0001-4505-7153</w:t>
        </w:r>
      </w:hyperlink>
      <w:r w:rsidRPr="009D53E5">
        <w:rPr>
          <w:bCs/>
          <w:sz w:val="16"/>
          <w:szCs w:val="20"/>
        </w:rPr>
        <w:t>,</w:t>
      </w:r>
      <w:r>
        <w:rPr>
          <w:bCs/>
          <w:sz w:val="16"/>
          <w:szCs w:val="20"/>
        </w:rPr>
        <w:t xml:space="preserve"> </w:t>
      </w:r>
      <w:hyperlink r:id="rId12" w:history="1">
        <w:r w:rsidRPr="0008360F">
          <w:rPr>
            <w:rStyle w:val="Hyperlink"/>
            <w:bCs/>
            <w:sz w:val="16"/>
            <w:szCs w:val="20"/>
          </w:rPr>
          <w:t>yuldashev@mail.ru</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7B7AD520" w14:textId="77777777" w:rsidR="009D53E5" w:rsidRPr="009D53E5" w:rsidRDefault="009D53E5" w:rsidP="00132B2B">
      <w:pPr>
        <w:jc w:val="both"/>
        <w:rPr>
          <w:sz w:val="20"/>
          <w:szCs w:val="20"/>
        </w:rPr>
      </w:pPr>
      <w:r w:rsidRPr="009D53E5">
        <w:rPr>
          <w:b/>
          <w:bCs/>
          <w:sz w:val="20"/>
          <w:szCs w:val="20"/>
        </w:rPr>
        <w:t>Background:</w:t>
      </w:r>
      <w:r w:rsidRPr="009D53E5">
        <w:rPr>
          <w:sz w:val="20"/>
          <w:szCs w:val="20"/>
        </w:rPr>
        <w:t xml:space="preserve"> Atherothrombotic lesions of extracranial arteries, particularly the internal carotid arteries (ICA), are a major cause of ischemic stroke. While the degree of arterial stenosis is traditionally used for risk assessment, increasing evidence indicates that hemodynamic impairment and plaque morphology play a critical role in determining cerebrovascular risk.</w:t>
      </w:r>
    </w:p>
    <w:p w14:paraId="324F396B" w14:textId="77777777" w:rsidR="009D53E5" w:rsidRPr="009D53E5" w:rsidRDefault="009D53E5" w:rsidP="00132B2B">
      <w:pPr>
        <w:jc w:val="both"/>
        <w:rPr>
          <w:sz w:val="20"/>
          <w:szCs w:val="20"/>
        </w:rPr>
      </w:pPr>
      <w:r w:rsidRPr="009D53E5">
        <w:rPr>
          <w:b/>
          <w:bCs/>
          <w:sz w:val="20"/>
          <w:szCs w:val="20"/>
        </w:rPr>
        <w:t>Objective:</w:t>
      </w:r>
      <w:r w:rsidRPr="009D53E5">
        <w:rPr>
          <w:sz w:val="20"/>
          <w:szCs w:val="20"/>
        </w:rPr>
        <w:t xml:space="preserve"> To evaluate cerebral hemodynamics and atherosclerotic plaque morphology in patients with atherothrombotic lesions of extracranial arteries and to determine their diagnostic and prognostic significance in stroke risk stratification.</w:t>
      </w:r>
    </w:p>
    <w:p w14:paraId="245A7D0A" w14:textId="77777777" w:rsidR="009D53E5" w:rsidRPr="009D53E5" w:rsidRDefault="009D53E5" w:rsidP="00132B2B">
      <w:pPr>
        <w:jc w:val="both"/>
        <w:rPr>
          <w:sz w:val="20"/>
          <w:szCs w:val="20"/>
        </w:rPr>
      </w:pPr>
      <w:r w:rsidRPr="009D53E5">
        <w:rPr>
          <w:b/>
          <w:bCs/>
          <w:sz w:val="20"/>
          <w:szCs w:val="20"/>
        </w:rPr>
        <w:t>Materials and Methods:</w:t>
      </w:r>
      <w:r w:rsidRPr="009D53E5">
        <w:rPr>
          <w:sz w:val="20"/>
          <w:szCs w:val="20"/>
        </w:rPr>
        <w:t xml:space="preserve"> A total of 128 elderly patients with confirmed ICA stenosis were examined between 2022 and 2024. Patients were divided into three groups: unilateral ICA stenosis (n=41), bilateral ICA stenosis (n=58), and combined ICA and vertebral artery (VA) stenosis (n=29). Cerebrovascular reserve (CVR) was assessed using transcranial Doppler with vasoactive testing. Cerebral perfusion parameters (CBF, CBV, MTT, </w:t>
      </w:r>
      <w:proofErr w:type="spellStart"/>
      <w:r w:rsidRPr="009D53E5">
        <w:rPr>
          <w:sz w:val="20"/>
          <w:szCs w:val="20"/>
        </w:rPr>
        <w:t>Tmax</w:t>
      </w:r>
      <w:proofErr w:type="spellEnd"/>
      <w:r w:rsidRPr="009D53E5">
        <w:rPr>
          <w:sz w:val="20"/>
          <w:szCs w:val="20"/>
        </w:rPr>
        <w:t xml:space="preserve">) were evaluated using CT and MR perfusion techniques. Plaque morphology was analyzed using high-resolution duplex ultrasonography and MRI according to established classifications. Statistical analysis was performed using SPSS, </w:t>
      </w:r>
      <w:proofErr w:type="spellStart"/>
      <w:r w:rsidRPr="009D53E5">
        <w:rPr>
          <w:sz w:val="20"/>
          <w:szCs w:val="20"/>
        </w:rPr>
        <w:t>MedCalc</w:t>
      </w:r>
      <w:proofErr w:type="spellEnd"/>
      <w:r w:rsidRPr="009D53E5">
        <w:rPr>
          <w:sz w:val="20"/>
          <w:szCs w:val="20"/>
        </w:rPr>
        <w:t>, and R software.</w:t>
      </w:r>
    </w:p>
    <w:p w14:paraId="3E7BA0D4" w14:textId="77777777" w:rsidR="009D53E5" w:rsidRPr="009D53E5" w:rsidRDefault="009D53E5" w:rsidP="00132B2B">
      <w:pPr>
        <w:jc w:val="both"/>
        <w:rPr>
          <w:sz w:val="20"/>
          <w:szCs w:val="20"/>
        </w:rPr>
      </w:pPr>
      <w:r w:rsidRPr="009D53E5">
        <w:rPr>
          <w:b/>
          <w:bCs/>
          <w:sz w:val="20"/>
          <w:szCs w:val="20"/>
        </w:rPr>
        <w:t>Results:</w:t>
      </w:r>
      <w:r w:rsidRPr="009D53E5">
        <w:rPr>
          <w:sz w:val="20"/>
          <w:szCs w:val="20"/>
        </w:rPr>
        <w:t xml:space="preserve"> Progressive deterioration of cerebral hemodynamics was observed with increasing severity and extent of vascular lesions. CVR, CBF, and CBV were significantly reduced, while MTT and </w:t>
      </w:r>
      <w:proofErr w:type="spellStart"/>
      <w:r w:rsidRPr="009D53E5">
        <w:rPr>
          <w:sz w:val="20"/>
          <w:szCs w:val="20"/>
        </w:rPr>
        <w:t>Tmax</w:t>
      </w:r>
      <w:proofErr w:type="spellEnd"/>
      <w:r w:rsidRPr="009D53E5">
        <w:rPr>
          <w:sz w:val="20"/>
          <w:szCs w:val="20"/>
        </w:rPr>
        <w:t xml:space="preserve"> were prolonged, particularly in patients with combined ICA and VA stenosis (p&lt;0.05). Morphological analysis revealed a significantly higher prevalence of unstable, ulcerative, and lipid-rich plaques in patients with bilateral and combined stenosis compared to unilateral lesions and controls (p&lt;0.001). Calcified plaques showed no significant association with stenosis severity.</w:t>
      </w:r>
    </w:p>
    <w:p w14:paraId="508097B2" w14:textId="4F5AD9F8" w:rsidR="000931CF" w:rsidRDefault="009D53E5" w:rsidP="00132B2B">
      <w:pPr>
        <w:jc w:val="both"/>
        <w:rPr>
          <w:sz w:val="20"/>
          <w:szCs w:val="20"/>
        </w:rPr>
      </w:pPr>
      <w:r w:rsidRPr="009D53E5">
        <w:rPr>
          <w:b/>
          <w:bCs/>
          <w:sz w:val="20"/>
          <w:szCs w:val="20"/>
        </w:rPr>
        <w:t>Conclusion:</w:t>
      </w:r>
      <w:r w:rsidRPr="009D53E5">
        <w:rPr>
          <w:sz w:val="20"/>
          <w:szCs w:val="20"/>
        </w:rPr>
        <w:t xml:space="preserve"> Atherothrombotic lesions of extracranial arteries are associated with marked hemodynamic impairment and progressive plaque destabilization. Comprehensive assessment combining hemodynamic parameters and plaque morphology provides superior risk stratification compared to stenosis degree alone and should be integrated into clinical decision-making for stroke prevention and treatment planning.</w:t>
      </w:r>
    </w:p>
    <w:p w14:paraId="2A185C06" w14:textId="1112484E" w:rsidR="005477C2" w:rsidRDefault="00792813" w:rsidP="00F47AF7">
      <w:pPr>
        <w:spacing w:before="240"/>
        <w:jc w:val="both"/>
        <w:rPr>
          <w:i/>
          <w:sz w:val="20"/>
        </w:rPr>
      </w:pPr>
      <w:r>
        <w:rPr>
          <w:b/>
          <w:sz w:val="20"/>
        </w:rPr>
        <w:t xml:space="preserve">Keywords: </w:t>
      </w:r>
      <w:r w:rsidR="009D53E5" w:rsidRPr="009D53E5">
        <w:rPr>
          <w:i/>
          <w:sz w:val="20"/>
        </w:rPr>
        <w:t>Atherothrombotic stenosis; extracranial arteries; internal carotid artery; cerebrovascular reserve; cerebral perfusion; plaque morphology; unstable plaque; ischemic stroke; duplex ultrasonography; magnetic resonance imaging</w:t>
      </w:r>
      <w:r w:rsidR="000931CF" w:rsidRPr="000931CF">
        <w:rPr>
          <w:i/>
          <w:sz w:val="20"/>
        </w:rPr>
        <w:t>.</w:t>
      </w:r>
    </w:p>
    <w:p w14:paraId="00D942D5" w14:textId="77777777" w:rsidR="009D53E5" w:rsidRDefault="009D53E5" w:rsidP="00F47AF7">
      <w:pPr>
        <w:pStyle w:val="Heading1"/>
        <w:ind w:left="0"/>
        <w:rPr>
          <w:spacing w:val="-2"/>
        </w:rPr>
      </w:pPr>
    </w:p>
    <w:p w14:paraId="087DEA27" w14:textId="73F7B4A0" w:rsidR="008217E7" w:rsidRDefault="00792813" w:rsidP="00F47AF7">
      <w:pPr>
        <w:pStyle w:val="Heading1"/>
        <w:ind w:left="0"/>
      </w:pPr>
      <w:r>
        <w:rPr>
          <w:spacing w:val="-2"/>
        </w:rPr>
        <w:t>INTRODUCTION</w:t>
      </w:r>
    </w:p>
    <w:p w14:paraId="76A5073F" w14:textId="4F91D159"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Atherothrombotic lesions of the extracranial arteries of the brain, primarily the internal carotid arteries (ICA), remain a leading cause of ischemic stroke, which remains a leading cause of death and disability in </w:t>
      </w:r>
      <w:r w:rsidRPr="00F264E3">
        <w:rPr>
          <w:rFonts w:asciiTheme="majorBidi" w:eastAsia="Calibri" w:hAnsiTheme="majorBidi" w:cstheme="majorBidi"/>
          <w:kern w:val="2"/>
          <w:sz w:val="20"/>
          <w:szCs w:val="20"/>
          <w14:ligatures w14:val="standardContextual"/>
        </w:rPr>
        <w:lastRenderedPageBreak/>
        <w:t>the population [1, 2]. According to current data, approximately 15–20% of ischemic strokes are caused by significant stenoses of extracranial arteries, and their identification and characterization are key to the prevention of vascular accidents [3, 4].</w:t>
      </w:r>
    </w:p>
    <w:p w14:paraId="3413FBDE"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Hemodynamic disturbances in stenosing atherosclerosis of the ICA include decreased perfusion pressure, reduced cerebrovascular reserve (CVR), and impaired cerebral blood flow autoregulation [5]. These changes often precede clinical manifestations and can be detected using modern diagnostic methods: transcranial Doppler ultrasonography, perfusion MRI, and computed tomography [6].</w:t>
      </w:r>
    </w:p>
    <w:p w14:paraId="7DB23069"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Along with hemodynamic parameters, the morphology of the atherosclerotic plaque is crucial, determining its stability and the risk of thromboembolic complications. Unstable plaques are characterized by </w:t>
      </w:r>
      <w:proofErr w:type="spellStart"/>
      <w:r w:rsidRPr="00F264E3">
        <w:rPr>
          <w:rFonts w:asciiTheme="majorBidi" w:eastAsia="Calibri" w:hAnsiTheme="majorBidi" w:cstheme="majorBidi"/>
          <w:kern w:val="2"/>
          <w:sz w:val="20"/>
          <w:szCs w:val="20"/>
          <w14:ligatures w14:val="standardContextual"/>
        </w:rPr>
        <w:t>hypoechogenicity</w:t>
      </w:r>
      <w:proofErr w:type="spellEnd"/>
      <w:r w:rsidRPr="00F264E3">
        <w:rPr>
          <w:rFonts w:asciiTheme="majorBidi" w:eastAsia="Calibri" w:hAnsiTheme="majorBidi" w:cstheme="majorBidi"/>
          <w:kern w:val="2"/>
          <w:sz w:val="20"/>
          <w:szCs w:val="20"/>
          <w14:ligatures w14:val="standardContextual"/>
        </w:rPr>
        <w:t>, ulceration, intraplaque hemorrhage, and a thin fibrous cap, which increases the likelihood of rupture and embolism into the distal vascular bed [7, 8].</w:t>
      </w:r>
    </w:p>
    <w:p w14:paraId="37F83843"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Modern ultrasound and MRI techniques allow not only quantitative assessment of the degree of stenosis but also qualitative characterization of plaque structure, which has important prognostic value [9, 10]. A comprehensive assessment of hemodynamic parameters and plaque morphological characteristics allows for more accurate stroke risk stratification and patient management, including the optimal timing of surgical intervention.</w:t>
      </w:r>
    </w:p>
    <w:p w14:paraId="48932F97"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Despite advances in visualization and functional assessment of cerebral blood flow, clinical practice often focuses solely on the percentage of stenosis, without considering CVR and morphological signs of plaque instability. This can lead to underestimation of risk in some patients and, consequently, missed opportunities for timely stroke prevention.</w:t>
      </w:r>
    </w:p>
    <w:p w14:paraId="5195981C"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Thus, the study of the relationship between hemodynamic parameters and the morphology of atherosclerotic plaques in atherothrombotic lesions of extracranial arteries is an urgent task of modern </w:t>
      </w:r>
      <w:proofErr w:type="spellStart"/>
      <w:r w:rsidRPr="00F264E3">
        <w:rPr>
          <w:rFonts w:asciiTheme="majorBidi" w:eastAsia="Calibri" w:hAnsiTheme="majorBidi" w:cstheme="majorBidi"/>
          <w:kern w:val="2"/>
          <w:sz w:val="20"/>
          <w:szCs w:val="20"/>
          <w14:ligatures w14:val="standardContextual"/>
        </w:rPr>
        <w:t>angioneurology</w:t>
      </w:r>
      <w:proofErr w:type="spellEnd"/>
      <w:r w:rsidRPr="00F264E3">
        <w:rPr>
          <w:rFonts w:asciiTheme="majorBidi" w:eastAsia="Calibri" w:hAnsiTheme="majorBidi" w:cstheme="majorBidi"/>
          <w:kern w:val="2"/>
          <w:sz w:val="20"/>
          <w:szCs w:val="20"/>
          <w14:ligatures w14:val="standardContextual"/>
        </w:rPr>
        <w:t xml:space="preserve"> aimed at improving risk stratification and individualizing preventive strategies.</w:t>
      </w:r>
    </w:p>
    <w:p w14:paraId="72F9455B"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Study materials and methods. A total of 128 elderly patients (WHO, 2021) with a confirmed diagnosis of internal carotid artery (ICA) stenosis were examined. They were followed up as outpatients at the private clinic </w:t>
      </w:r>
      <w:proofErr w:type="spellStart"/>
      <w:r w:rsidRPr="00F264E3">
        <w:rPr>
          <w:rFonts w:asciiTheme="majorBidi" w:eastAsia="Calibri" w:hAnsiTheme="majorBidi" w:cstheme="majorBidi"/>
          <w:kern w:val="2"/>
          <w:sz w:val="20"/>
          <w:szCs w:val="20"/>
          <w14:ligatures w14:val="standardContextual"/>
        </w:rPr>
        <w:t>Reacentr</w:t>
      </w:r>
      <w:proofErr w:type="spellEnd"/>
      <w:r w:rsidRPr="00F264E3">
        <w:rPr>
          <w:rFonts w:asciiTheme="majorBidi" w:eastAsia="Calibri" w:hAnsiTheme="majorBidi" w:cstheme="majorBidi"/>
          <w:kern w:val="2"/>
          <w:sz w:val="20"/>
          <w:szCs w:val="20"/>
          <w14:ligatures w14:val="standardContextual"/>
        </w:rPr>
        <w:t xml:space="preserve"> Nukus and were treated in the neurology department of the Nukus City Hospital from 2022 to 2024. Of these, 60 were men (46.9%) and 68 women (53.1%); the average age of the patients was 67±7.2 years (Table 2.1). A randomized heterogeneous combined sample was used to form the sample.</w:t>
      </w:r>
    </w:p>
    <w:p w14:paraId="5FE6B66F"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Depending on the type of atherothrombotic lesion, patients were divided into three groups (Table 1). Group I: patients with unilateral ICA stenosis (n = 41). Group II: patients with bilateral ICA stenosis (n = 58). Group III: patients with combined stenosis of the ICA and VA (n=29). The control group consisted of patients without hemodynamically significant stenoses of extracranial arteries (n=20). Patients were distributed according to the degree of stenosis according to the NASCET/SRU classification.</w:t>
      </w:r>
    </w:p>
    <w:p w14:paraId="30F19C43" w14:textId="407CCBD5" w:rsid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Among 128 patients included in stage II of the study, the largest number was in group II (n=58; 45.3%), followed by patients in group I (n=41; 32.0%) and group III (n=29; 22.7%). The age 60–74 years (old age) dominates in all groups, accounting for 51.2% in group I, 51.7% in group II and 48.3% in group III. This confirms that clinically significant stenoses are more often detected in old age, when the accumulation of risk factors reaches its maximum. The age 45–59 years (middle age) is less common, but is quite stable in all groups: 24.4% in group I, 25.9% in group II, 24.1% in group III. Patients aged 75–90 years (old age) accounted for 24.4% of patients in Group I, 22.4% of patients in Group II, and 27.6% of patients in Group III. The higher proportion in Group III indicates systemic progression of atherosclerosis involving not only the internal carotid arteries but also the vertebral arteries in older age groups (Table 1).</w:t>
      </w:r>
    </w:p>
    <w:p w14:paraId="05D086E2" w14:textId="11DCC541" w:rsidR="00F264E3" w:rsidRPr="00F264E3" w:rsidRDefault="00F264E3" w:rsidP="00F264E3">
      <w:pPr>
        <w:widowControl/>
        <w:autoSpaceDE/>
        <w:autoSpaceDN/>
        <w:spacing w:before="240"/>
        <w:jc w:val="center"/>
        <w:rPr>
          <w:rFonts w:asciiTheme="majorBidi" w:eastAsia="Calibri" w:hAnsiTheme="majorBidi" w:cstheme="majorBidi"/>
          <w:b/>
          <w:bCs/>
          <w:kern w:val="2"/>
          <w:sz w:val="20"/>
          <w:szCs w:val="20"/>
          <w14:ligatures w14:val="standardContextual"/>
        </w:rPr>
      </w:pPr>
      <w:r w:rsidRPr="00F264E3">
        <w:rPr>
          <w:rFonts w:asciiTheme="majorBidi" w:eastAsia="Calibri" w:hAnsiTheme="majorBidi" w:cstheme="majorBidi"/>
          <w:b/>
          <w:bCs/>
          <w:kern w:val="2"/>
          <w:sz w:val="20"/>
          <w:szCs w:val="20"/>
          <w14:ligatures w14:val="standardContextual"/>
        </w:rPr>
        <w:t>Table 1.</w:t>
      </w:r>
      <w:r>
        <w:rPr>
          <w:rFonts w:asciiTheme="majorBidi" w:eastAsia="Calibri" w:hAnsiTheme="majorBidi" w:cstheme="majorBidi"/>
          <w:b/>
          <w:bCs/>
          <w:kern w:val="2"/>
          <w:sz w:val="20"/>
          <w:szCs w:val="20"/>
          <w14:ligatures w14:val="standardContextual"/>
        </w:rPr>
        <w:t xml:space="preserve"> </w:t>
      </w:r>
      <w:r w:rsidRPr="00F264E3">
        <w:rPr>
          <w:rFonts w:asciiTheme="majorBidi" w:eastAsia="Calibri" w:hAnsiTheme="majorBidi" w:cstheme="majorBidi"/>
          <w:b/>
          <w:bCs/>
          <w:kern w:val="2"/>
          <w:sz w:val="20"/>
          <w:szCs w:val="20"/>
          <w14:ligatures w14:val="standardContextual"/>
        </w:rPr>
        <w:t>Distribution of patients by age, gender, groups, stage II</w:t>
      </w:r>
    </w:p>
    <w:tbl>
      <w:tblPr>
        <w:tblW w:w="9677" w:type="dxa"/>
        <w:jc w:val="center"/>
        <w:tblLook w:val="04A0" w:firstRow="1" w:lastRow="0" w:firstColumn="1" w:lastColumn="0" w:noHBand="0" w:noVBand="1"/>
      </w:tblPr>
      <w:tblGrid>
        <w:gridCol w:w="1550"/>
        <w:gridCol w:w="979"/>
        <w:gridCol w:w="684"/>
        <w:gridCol w:w="967"/>
        <w:gridCol w:w="802"/>
        <w:gridCol w:w="1142"/>
        <w:gridCol w:w="753"/>
        <w:gridCol w:w="1072"/>
        <w:gridCol w:w="797"/>
        <w:gridCol w:w="931"/>
      </w:tblGrid>
      <w:tr w:rsidR="00F264E3" w:rsidRPr="00132B2B" w14:paraId="0C242B25" w14:textId="77777777" w:rsidTr="00132B2B">
        <w:trPr>
          <w:trHeight w:val="20"/>
          <w:jc w:val="center"/>
        </w:trPr>
        <w:tc>
          <w:tcPr>
            <w:tcW w:w="1550" w:type="dxa"/>
            <w:tcBorders>
              <w:top w:val="single" w:sz="8" w:space="0" w:color="auto"/>
              <w:left w:val="single" w:sz="8" w:space="0" w:color="auto"/>
              <w:bottom w:val="nil"/>
              <w:right w:val="nil"/>
            </w:tcBorders>
            <w:noWrap/>
            <w:vAlign w:val="bottom"/>
            <w:hideMark/>
          </w:tcPr>
          <w:p w14:paraId="2BD3414D"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Age</w:t>
            </w:r>
          </w:p>
        </w:tc>
        <w:tc>
          <w:tcPr>
            <w:tcW w:w="979" w:type="dxa"/>
            <w:tcBorders>
              <w:top w:val="single" w:sz="8" w:space="0" w:color="auto"/>
              <w:left w:val="single" w:sz="8" w:space="0" w:color="auto"/>
              <w:bottom w:val="nil"/>
              <w:right w:val="single" w:sz="8" w:space="0" w:color="auto"/>
            </w:tcBorders>
            <w:noWrap/>
            <w:vAlign w:val="bottom"/>
            <w:hideMark/>
          </w:tcPr>
          <w:p w14:paraId="627CFF76"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Gender</w:t>
            </w:r>
          </w:p>
        </w:tc>
        <w:tc>
          <w:tcPr>
            <w:tcW w:w="1651" w:type="dxa"/>
            <w:gridSpan w:val="2"/>
            <w:tcBorders>
              <w:top w:val="single" w:sz="8" w:space="0" w:color="auto"/>
              <w:left w:val="nil"/>
              <w:bottom w:val="nil"/>
              <w:right w:val="single" w:sz="8" w:space="0" w:color="000000"/>
            </w:tcBorders>
            <w:noWrap/>
            <w:vAlign w:val="bottom"/>
            <w:hideMark/>
          </w:tcPr>
          <w:p w14:paraId="70613F8F"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1 group</w:t>
            </w:r>
          </w:p>
        </w:tc>
        <w:tc>
          <w:tcPr>
            <w:tcW w:w="1944" w:type="dxa"/>
            <w:gridSpan w:val="2"/>
            <w:tcBorders>
              <w:top w:val="single" w:sz="8" w:space="0" w:color="auto"/>
              <w:left w:val="single" w:sz="8" w:space="0" w:color="auto"/>
              <w:bottom w:val="nil"/>
              <w:right w:val="single" w:sz="8" w:space="0" w:color="000000"/>
            </w:tcBorders>
            <w:noWrap/>
            <w:vAlign w:val="bottom"/>
            <w:hideMark/>
          </w:tcPr>
          <w:p w14:paraId="5DD04E2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xml:space="preserve"> </w:t>
            </w:r>
            <w:r w:rsidRPr="00132B2B">
              <w:rPr>
                <w:rFonts w:asciiTheme="majorBidi" w:eastAsia="Calibri" w:hAnsiTheme="majorBidi" w:cstheme="majorBidi"/>
                <w:kern w:val="2"/>
                <w:sz w:val="20"/>
                <w:szCs w:val="20"/>
                <w14:ligatures w14:val="standardContextual"/>
              </w:rPr>
              <w:t>2 group</w:t>
            </w:r>
          </w:p>
        </w:tc>
        <w:tc>
          <w:tcPr>
            <w:tcW w:w="1825" w:type="dxa"/>
            <w:gridSpan w:val="2"/>
            <w:tcBorders>
              <w:top w:val="single" w:sz="8" w:space="0" w:color="auto"/>
              <w:left w:val="single" w:sz="8" w:space="0" w:color="auto"/>
              <w:bottom w:val="nil"/>
              <w:right w:val="single" w:sz="8" w:space="0" w:color="000000"/>
            </w:tcBorders>
            <w:noWrap/>
            <w:vAlign w:val="bottom"/>
            <w:hideMark/>
          </w:tcPr>
          <w:p w14:paraId="1B531C17"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3</w:t>
            </w:r>
            <w:r w:rsidRPr="00132B2B">
              <w:rPr>
                <w:rFonts w:asciiTheme="majorBidi" w:eastAsia="Calibri" w:hAnsiTheme="majorBidi" w:cstheme="majorBidi"/>
                <w:kern w:val="2"/>
                <w:sz w:val="20"/>
                <w:szCs w:val="20"/>
                <w:lang w:val="ru-RU"/>
                <w14:ligatures w14:val="standardContextual"/>
              </w:rPr>
              <w:t xml:space="preserve"> </w:t>
            </w:r>
            <w:r w:rsidRPr="00132B2B">
              <w:rPr>
                <w:rFonts w:asciiTheme="majorBidi" w:eastAsia="Calibri" w:hAnsiTheme="majorBidi" w:cstheme="majorBidi"/>
                <w:kern w:val="2"/>
                <w:sz w:val="20"/>
                <w:szCs w:val="20"/>
                <w14:ligatures w14:val="standardContextual"/>
              </w:rPr>
              <w:t>group</w:t>
            </w:r>
          </w:p>
        </w:tc>
        <w:tc>
          <w:tcPr>
            <w:tcW w:w="1728" w:type="dxa"/>
            <w:gridSpan w:val="2"/>
            <w:tcBorders>
              <w:top w:val="single" w:sz="8" w:space="0" w:color="auto"/>
              <w:left w:val="single" w:sz="8" w:space="0" w:color="auto"/>
              <w:bottom w:val="nil"/>
              <w:right w:val="single" w:sz="8" w:space="0" w:color="000000"/>
            </w:tcBorders>
            <w:noWrap/>
            <w:vAlign w:val="bottom"/>
            <w:hideMark/>
          </w:tcPr>
          <w:p w14:paraId="5E6963BD"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TOTAL</w:t>
            </w:r>
          </w:p>
        </w:tc>
      </w:tr>
      <w:tr w:rsidR="00F264E3" w:rsidRPr="00132B2B" w14:paraId="7285B50E" w14:textId="77777777" w:rsidTr="00132B2B">
        <w:trPr>
          <w:trHeight w:val="20"/>
          <w:jc w:val="center"/>
        </w:trPr>
        <w:tc>
          <w:tcPr>
            <w:tcW w:w="1550" w:type="dxa"/>
            <w:tcBorders>
              <w:top w:val="nil"/>
              <w:left w:val="single" w:sz="8" w:space="0" w:color="auto"/>
              <w:bottom w:val="nil"/>
              <w:right w:val="nil"/>
            </w:tcBorders>
            <w:noWrap/>
            <w:vAlign w:val="bottom"/>
            <w:hideMark/>
          </w:tcPr>
          <w:p w14:paraId="6297E9F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979" w:type="dxa"/>
            <w:tcBorders>
              <w:top w:val="nil"/>
              <w:left w:val="single" w:sz="8" w:space="0" w:color="auto"/>
              <w:bottom w:val="nil"/>
              <w:right w:val="single" w:sz="8" w:space="0" w:color="auto"/>
            </w:tcBorders>
            <w:noWrap/>
            <w:vAlign w:val="bottom"/>
            <w:hideMark/>
          </w:tcPr>
          <w:p w14:paraId="78F81D38"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684" w:type="dxa"/>
            <w:tcBorders>
              <w:top w:val="nil"/>
              <w:left w:val="nil"/>
              <w:bottom w:val="single" w:sz="8" w:space="0" w:color="auto"/>
              <w:right w:val="nil"/>
            </w:tcBorders>
            <w:noWrap/>
            <w:vAlign w:val="bottom"/>
            <w:hideMark/>
          </w:tcPr>
          <w:p w14:paraId="6185E1C8"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n=41</w:t>
            </w:r>
          </w:p>
        </w:tc>
        <w:tc>
          <w:tcPr>
            <w:tcW w:w="967" w:type="dxa"/>
            <w:tcBorders>
              <w:top w:val="nil"/>
              <w:left w:val="nil"/>
              <w:bottom w:val="single" w:sz="8" w:space="0" w:color="auto"/>
              <w:right w:val="single" w:sz="8" w:space="0" w:color="auto"/>
            </w:tcBorders>
            <w:noWrap/>
            <w:vAlign w:val="bottom"/>
            <w:hideMark/>
          </w:tcPr>
          <w:p w14:paraId="683399F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802" w:type="dxa"/>
            <w:tcBorders>
              <w:top w:val="nil"/>
              <w:left w:val="nil"/>
              <w:bottom w:val="single" w:sz="8" w:space="0" w:color="auto"/>
              <w:right w:val="nil"/>
            </w:tcBorders>
            <w:noWrap/>
            <w:vAlign w:val="bottom"/>
            <w:hideMark/>
          </w:tcPr>
          <w:p w14:paraId="1EA73AB5"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n=58</w:t>
            </w:r>
          </w:p>
        </w:tc>
        <w:tc>
          <w:tcPr>
            <w:tcW w:w="1142" w:type="dxa"/>
            <w:tcBorders>
              <w:top w:val="nil"/>
              <w:left w:val="nil"/>
              <w:bottom w:val="single" w:sz="8" w:space="0" w:color="auto"/>
              <w:right w:val="single" w:sz="8" w:space="0" w:color="auto"/>
            </w:tcBorders>
            <w:noWrap/>
            <w:vAlign w:val="bottom"/>
            <w:hideMark/>
          </w:tcPr>
          <w:p w14:paraId="1083E349"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753" w:type="dxa"/>
            <w:tcBorders>
              <w:top w:val="nil"/>
              <w:left w:val="nil"/>
              <w:bottom w:val="single" w:sz="8" w:space="0" w:color="auto"/>
              <w:right w:val="nil"/>
            </w:tcBorders>
            <w:noWrap/>
            <w:vAlign w:val="bottom"/>
            <w:hideMark/>
          </w:tcPr>
          <w:p w14:paraId="2EB31D78"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n=29</w:t>
            </w:r>
          </w:p>
        </w:tc>
        <w:tc>
          <w:tcPr>
            <w:tcW w:w="1072" w:type="dxa"/>
            <w:tcBorders>
              <w:top w:val="nil"/>
              <w:left w:val="nil"/>
              <w:bottom w:val="single" w:sz="8" w:space="0" w:color="auto"/>
              <w:right w:val="single" w:sz="8" w:space="0" w:color="auto"/>
            </w:tcBorders>
            <w:noWrap/>
            <w:vAlign w:val="bottom"/>
            <w:hideMark/>
          </w:tcPr>
          <w:p w14:paraId="287E560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797" w:type="dxa"/>
            <w:tcBorders>
              <w:top w:val="nil"/>
              <w:left w:val="nil"/>
              <w:bottom w:val="single" w:sz="8" w:space="0" w:color="auto"/>
              <w:right w:val="nil"/>
            </w:tcBorders>
            <w:noWrap/>
            <w:vAlign w:val="bottom"/>
            <w:hideMark/>
          </w:tcPr>
          <w:p w14:paraId="11B7A87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n=128</w:t>
            </w:r>
          </w:p>
        </w:tc>
        <w:tc>
          <w:tcPr>
            <w:tcW w:w="931" w:type="dxa"/>
            <w:tcBorders>
              <w:top w:val="nil"/>
              <w:left w:val="nil"/>
              <w:bottom w:val="single" w:sz="8" w:space="0" w:color="auto"/>
              <w:right w:val="single" w:sz="8" w:space="0" w:color="auto"/>
            </w:tcBorders>
            <w:noWrap/>
            <w:vAlign w:val="bottom"/>
            <w:hideMark/>
          </w:tcPr>
          <w:p w14:paraId="4DC75145"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r>
      <w:tr w:rsidR="00F264E3" w:rsidRPr="00132B2B" w14:paraId="12A1A1C1" w14:textId="77777777" w:rsidTr="00132B2B">
        <w:trPr>
          <w:trHeight w:val="20"/>
          <w:jc w:val="center"/>
        </w:trPr>
        <w:tc>
          <w:tcPr>
            <w:tcW w:w="1550" w:type="dxa"/>
            <w:tcBorders>
              <w:top w:val="nil"/>
              <w:left w:val="single" w:sz="8" w:space="0" w:color="auto"/>
              <w:bottom w:val="nil"/>
              <w:right w:val="nil"/>
            </w:tcBorders>
            <w:noWrap/>
            <w:vAlign w:val="bottom"/>
            <w:hideMark/>
          </w:tcPr>
          <w:p w14:paraId="0E7FD6FF"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979" w:type="dxa"/>
            <w:tcBorders>
              <w:top w:val="nil"/>
              <w:left w:val="single" w:sz="8" w:space="0" w:color="auto"/>
              <w:bottom w:val="nil"/>
              <w:right w:val="single" w:sz="8" w:space="0" w:color="auto"/>
            </w:tcBorders>
            <w:noWrap/>
            <w:vAlign w:val="bottom"/>
            <w:hideMark/>
          </w:tcPr>
          <w:p w14:paraId="5967A052"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684" w:type="dxa"/>
            <w:tcBorders>
              <w:top w:val="nil"/>
              <w:left w:val="nil"/>
              <w:bottom w:val="nil"/>
              <w:right w:val="single" w:sz="4" w:space="0" w:color="auto"/>
            </w:tcBorders>
            <w:noWrap/>
            <w:vAlign w:val="center"/>
            <w:hideMark/>
          </w:tcPr>
          <w:p w14:paraId="777E3FA7"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lang w:val="ru-RU"/>
                <w14:ligatures w14:val="standardContextual"/>
              </w:rPr>
              <w:t>а</w:t>
            </w:r>
            <w:proofErr w:type="spellStart"/>
            <w:r w:rsidRPr="00132B2B">
              <w:rPr>
                <w:rFonts w:asciiTheme="majorBidi" w:eastAsia="Calibri" w:hAnsiTheme="majorBidi" w:cstheme="majorBidi"/>
                <w:kern w:val="2"/>
                <w:sz w:val="20"/>
                <w:szCs w:val="20"/>
                <w14:ligatures w14:val="standardContextual"/>
              </w:rPr>
              <w:t>bc</w:t>
            </w:r>
            <w:proofErr w:type="spellEnd"/>
          </w:p>
        </w:tc>
        <w:tc>
          <w:tcPr>
            <w:tcW w:w="967" w:type="dxa"/>
            <w:tcBorders>
              <w:top w:val="nil"/>
              <w:left w:val="nil"/>
              <w:bottom w:val="nil"/>
              <w:right w:val="single" w:sz="4" w:space="0" w:color="auto"/>
            </w:tcBorders>
            <w:noWrap/>
            <w:vAlign w:val="center"/>
            <w:hideMark/>
          </w:tcPr>
          <w:p w14:paraId="415CF004"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w:t>
            </w:r>
          </w:p>
        </w:tc>
        <w:tc>
          <w:tcPr>
            <w:tcW w:w="802" w:type="dxa"/>
            <w:tcBorders>
              <w:top w:val="nil"/>
              <w:left w:val="nil"/>
              <w:bottom w:val="nil"/>
              <w:right w:val="single" w:sz="4" w:space="0" w:color="auto"/>
            </w:tcBorders>
            <w:noWrap/>
            <w:vAlign w:val="center"/>
            <w:hideMark/>
          </w:tcPr>
          <w:p w14:paraId="25709728"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lang w:val="ru-RU"/>
                <w14:ligatures w14:val="standardContextual"/>
              </w:rPr>
              <w:t>а</w:t>
            </w:r>
            <w:proofErr w:type="spellStart"/>
            <w:r w:rsidRPr="00132B2B">
              <w:rPr>
                <w:rFonts w:asciiTheme="majorBidi" w:eastAsia="Calibri" w:hAnsiTheme="majorBidi" w:cstheme="majorBidi"/>
                <w:kern w:val="2"/>
                <w:sz w:val="20"/>
                <w:szCs w:val="20"/>
                <w14:ligatures w14:val="standardContextual"/>
              </w:rPr>
              <w:t>bc</w:t>
            </w:r>
            <w:proofErr w:type="spellEnd"/>
          </w:p>
        </w:tc>
        <w:tc>
          <w:tcPr>
            <w:tcW w:w="1142" w:type="dxa"/>
            <w:tcBorders>
              <w:top w:val="nil"/>
              <w:left w:val="nil"/>
              <w:bottom w:val="nil"/>
              <w:right w:val="single" w:sz="4" w:space="0" w:color="auto"/>
            </w:tcBorders>
            <w:noWrap/>
            <w:vAlign w:val="center"/>
            <w:hideMark/>
          </w:tcPr>
          <w:p w14:paraId="6B639ADE"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w:t>
            </w:r>
          </w:p>
        </w:tc>
        <w:tc>
          <w:tcPr>
            <w:tcW w:w="753" w:type="dxa"/>
            <w:tcBorders>
              <w:top w:val="nil"/>
              <w:left w:val="nil"/>
              <w:bottom w:val="nil"/>
              <w:right w:val="single" w:sz="4" w:space="0" w:color="auto"/>
            </w:tcBorders>
            <w:noWrap/>
            <w:vAlign w:val="center"/>
            <w:hideMark/>
          </w:tcPr>
          <w:p w14:paraId="67391F79"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lang w:val="ru-RU"/>
                <w14:ligatures w14:val="standardContextual"/>
              </w:rPr>
              <w:t>а</w:t>
            </w:r>
            <w:proofErr w:type="spellStart"/>
            <w:r w:rsidRPr="00132B2B">
              <w:rPr>
                <w:rFonts w:asciiTheme="majorBidi" w:eastAsia="Calibri" w:hAnsiTheme="majorBidi" w:cstheme="majorBidi"/>
                <w:kern w:val="2"/>
                <w:sz w:val="20"/>
                <w:szCs w:val="20"/>
                <w14:ligatures w14:val="standardContextual"/>
              </w:rPr>
              <w:t>bc</w:t>
            </w:r>
            <w:proofErr w:type="spellEnd"/>
          </w:p>
        </w:tc>
        <w:tc>
          <w:tcPr>
            <w:tcW w:w="1072" w:type="dxa"/>
            <w:tcBorders>
              <w:top w:val="nil"/>
              <w:left w:val="nil"/>
              <w:bottom w:val="nil"/>
              <w:right w:val="single" w:sz="4" w:space="0" w:color="auto"/>
            </w:tcBorders>
            <w:noWrap/>
            <w:vAlign w:val="center"/>
            <w:hideMark/>
          </w:tcPr>
          <w:p w14:paraId="1579434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w:t>
            </w:r>
          </w:p>
        </w:tc>
        <w:tc>
          <w:tcPr>
            <w:tcW w:w="797" w:type="dxa"/>
            <w:tcBorders>
              <w:top w:val="nil"/>
              <w:left w:val="nil"/>
              <w:bottom w:val="nil"/>
              <w:right w:val="single" w:sz="4" w:space="0" w:color="auto"/>
            </w:tcBorders>
            <w:noWrap/>
            <w:vAlign w:val="center"/>
            <w:hideMark/>
          </w:tcPr>
          <w:p w14:paraId="68176205"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lang w:val="ru-RU"/>
                <w14:ligatures w14:val="standardContextual"/>
              </w:rPr>
              <w:t>а</w:t>
            </w:r>
            <w:proofErr w:type="spellStart"/>
            <w:r w:rsidRPr="00132B2B">
              <w:rPr>
                <w:rFonts w:asciiTheme="majorBidi" w:eastAsia="Calibri" w:hAnsiTheme="majorBidi" w:cstheme="majorBidi"/>
                <w:kern w:val="2"/>
                <w:sz w:val="20"/>
                <w:szCs w:val="20"/>
                <w14:ligatures w14:val="standardContextual"/>
              </w:rPr>
              <w:t>bc</w:t>
            </w:r>
            <w:proofErr w:type="spellEnd"/>
          </w:p>
        </w:tc>
        <w:tc>
          <w:tcPr>
            <w:tcW w:w="931" w:type="dxa"/>
            <w:tcBorders>
              <w:top w:val="nil"/>
              <w:left w:val="nil"/>
              <w:bottom w:val="nil"/>
              <w:right w:val="single" w:sz="8" w:space="0" w:color="auto"/>
            </w:tcBorders>
            <w:noWrap/>
            <w:vAlign w:val="center"/>
            <w:hideMark/>
          </w:tcPr>
          <w:p w14:paraId="6418487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w:t>
            </w:r>
          </w:p>
        </w:tc>
      </w:tr>
      <w:tr w:rsidR="00F264E3" w:rsidRPr="00132B2B" w14:paraId="183148E7" w14:textId="77777777" w:rsidTr="00132B2B">
        <w:trPr>
          <w:trHeight w:val="20"/>
          <w:jc w:val="center"/>
        </w:trPr>
        <w:tc>
          <w:tcPr>
            <w:tcW w:w="1550" w:type="dxa"/>
            <w:tcBorders>
              <w:top w:val="single" w:sz="8" w:space="0" w:color="auto"/>
              <w:left w:val="single" w:sz="8" w:space="0" w:color="auto"/>
              <w:bottom w:val="nil"/>
              <w:right w:val="nil"/>
            </w:tcBorders>
            <w:noWrap/>
            <w:vAlign w:val="bottom"/>
            <w:hideMark/>
          </w:tcPr>
          <w:p w14:paraId="5DC72162"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979" w:type="dxa"/>
            <w:tcBorders>
              <w:top w:val="single" w:sz="8" w:space="0" w:color="auto"/>
              <w:left w:val="single" w:sz="8" w:space="0" w:color="auto"/>
              <w:bottom w:val="single" w:sz="4" w:space="0" w:color="auto"/>
              <w:right w:val="single" w:sz="4" w:space="0" w:color="auto"/>
            </w:tcBorders>
            <w:noWrap/>
            <w:vAlign w:val="bottom"/>
            <w:hideMark/>
          </w:tcPr>
          <w:p w14:paraId="3B589640"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Man</w:t>
            </w:r>
          </w:p>
        </w:tc>
        <w:tc>
          <w:tcPr>
            <w:tcW w:w="684" w:type="dxa"/>
            <w:tcBorders>
              <w:top w:val="single" w:sz="8" w:space="0" w:color="auto"/>
              <w:left w:val="nil"/>
              <w:bottom w:val="single" w:sz="4" w:space="0" w:color="auto"/>
              <w:right w:val="single" w:sz="4" w:space="0" w:color="auto"/>
            </w:tcBorders>
            <w:noWrap/>
            <w:vAlign w:val="center"/>
            <w:hideMark/>
          </w:tcPr>
          <w:p w14:paraId="5088F36F"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w:t>
            </w:r>
          </w:p>
        </w:tc>
        <w:tc>
          <w:tcPr>
            <w:tcW w:w="967" w:type="dxa"/>
            <w:tcBorders>
              <w:top w:val="single" w:sz="8" w:space="0" w:color="auto"/>
              <w:left w:val="nil"/>
              <w:bottom w:val="single" w:sz="4" w:space="0" w:color="auto"/>
              <w:right w:val="single" w:sz="4" w:space="0" w:color="auto"/>
            </w:tcBorders>
            <w:noWrap/>
            <w:vAlign w:val="center"/>
            <w:hideMark/>
          </w:tcPr>
          <w:p w14:paraId="30EFCF8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12,2%</w:t>
            </w:r>
          </w:p>
        </w:tc>
        <w:tc>
          <w:tcPr>
            <w:tcW w:w="802" w:type="dxa"/>
            <w:tcBorders>
              <w:top w:val="single" w:sz="8" w:space="0" w:color="auto"/>
              <w:left w:val="nil"/>
              <w:bottom w:val="single" w:sz="4" w:space="0" w:color="auto"/>
              <w:right w:val="single" w:sz="4" w:space="0" w:color="auto"/>
            </w:tcBorders>
            <w:noWrap/>
            <w:vAlign w:val="center"/>
            <w:hideMark/>
          </w:tcPr>
          <w:p w14:paraId="7AF93E96"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8</w:t>
            </w:r>
          </w:p>
        </w:tc>
        <w:tc>
          <w:tcPr>
            <w:tcW w:w="1142" w:type="dxa"/>
            <w:tcBorders>
              <w:top w:val="single" w:sz="8" w:space="0" w:color="auto"/>
              <w:left w:val="nil"/>
              <w:bottom w:val="single" w:sz="4" w:space="0" w:color="auto"/>
              <w:right w:val="single" w:sz="4" w:space="0" w:color="auto"/>
            </w:tcBorders>
            <w:noWrap/>
            <w:vAlign w:val="center"/>
            <w:hideMark/>
          </w:tcPr>
          <w:p w14:paraId="46E30ACF"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13,8%</w:t>
            </w:r>
          </w:p>
        </w:tc>
        <w:tc>
          <w:tcPr>
            <w:tcW w:w="753" w:type="dxa"/>
            <w:tcBorders>
              <w:top w:val="single" w:sz="8" w:space="0" w:color="auto"/>
              <w:left w:val="nil"/>
              <w:bottom w:val="single" w:sz="4" w:space="0" w:color="auto"/>
              <w:right w:val="single" w:sz="4" w:space="0" w:color="auto"/>
            </w:tcBorders>
            <w:noWrap/>
            <w:vAlign w:val="center"/>
            <w:hideMark/>
          </w:tcPr>
          <w:p w14:paraId="0F228D08"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4</w:t>
            </w:r>
          </w:p>
        </w:tc>
        <w:tc>
          <w:tcPr>
            <w:tcW w:w="1072" w:type="dxa"/>
            <w:tcBorders>
              <w:top w:val="single" w:sz="8" w:space="0" w:color="auto"/>
              <w:left w:val="nil"/>
              <w:bottom w:val="single" w:sz="4" w:space="0" w:color="auto"/>
              <w:right w:val="single" w:sz="4" w:space="0" w:color="auto"/>
            </w:tcBorders>
            <w:noWrap/>
            <w:vAlign w:val="center"/>
            <w:hideMark/>
          </w:tcPr>
          <w:p w14:paraId="3B89199D"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13,8%</w:t>
            </w:r>
          </w:p>
        </w:tc>
        <w:tc>
          <w:tcPr>
            <w:tcW w:w="797" w:type="dxa"/>
            <w:tcBorders>
              <w:top w:val="single" w:sz="8" w:space="0" w:color="auto"/>
              <w:left w:val="nil"/>
              <w:bottom w:val="single" w:sz="4" w:space="0" w:color="auto"/>
              <w:right w:val="single" w:sz="4" w:space="0" w:color="auto"/>
            </w:tcBorders>
            <w:noWrap/>
            <w:vAlign w:val="center"/>
            <w:hideMark/>
          </w:tcPr>
          <w:p w14:paraId="15A86E3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17</w:t>
            </w:r>
          </w:p>
        </w:tc>
        <w:tc>
          <w:tcPr>
            <w:tcW w:w="931" w:type="dxa"/>
            <w:tcBorders>
              <w:top w:val="single" w:sz="8" w:space="0" w:color="auto"/>
              <w:left w:val="nil"/>
              <w:bottom w:val="single" w:sz="4" w:space="0" w:color="auto"/>
              <w:right w:val="single" w:sz="8" w:space="0" w:color="auto"/>
            </w:tcBorders>
            <w:noWrap/>
            <w:vAlign w:val="center"/>
            <w:hideMark/>
          </w:tcPr>
          <w:p w14:paraId="7999B13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13,3%</w:t>
            </w:r>
          </w:p>
        </w:tc>
      </w:tr>
      <w:tr w:rsidR="00F264E3" w:rsidRPr="00132B2B" w14:paraId="3775FE58" w14:textId="77777777" w:rsidTr="00132B2B">
        <w:trPr>
          <w:trHeight w:val="20"/>
          <w:jc w:val="center"/>
        </w:trPr>
        <w:tc>
          <w:tcPr>
            <w:tcW w:w="1550" w:type="dxa"/>
            <w:tcBorders>
              <w:top w:val="nil"/>
              <w:left w:val="single" w:sz="8" w:space="0" w:color="auto"/>
              <w:bottom w:val="nil"/>
              <w:right w:val="nil"/>
            </w:tcBorders>
            <w:noWrap/>
            <w:vAlign w:val="bottom"/>
            <w:hideMark/>
          </w:tcPr>
          <w:p w14:paraId="35C6945E"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Middle-aged</w:t>
            </w:r>
          </w:p>
        </w:tc>
        <w:tc>
          <w:tcPr>
            <w:tcW w:w="979" w:type="dxa"/>
            <w:tcBorders>
              <w:top w:val="nil"/>
              <w:left w:val="single" w:sz="8" w:space="0" w:color="auto"/>
              <w:bottom w:val="single" w:sz="4" w:space="0" w:color="auto"/>
              <w:right w:val="single" w:sz="4" w:space="0" w:color="auto"/>
            </w:tcBorders>
            <w:noWrap/>
            <w:vAlign w:val="bottom"/>
            <w:hideMark/>
          </w:tcPr>
          <w:p w14:paraId="1E36BACF"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Woman</w:t>
            </w:r>
          </w:p>
        </w:tc>
        <w:tc>
          <w:tcPr>
            <w:tcW w:w="684" w:type="dxa"/>
            <w:tcBorders>
              <w:top w:val="nil"/>
              <w:left w:val="nil"/>
              <w:bottom w:val="single" w:sz="4" w:space="0" w:color="auto"/>
              <w:right w:val="single" w:sz="4" w:space="0" w:color="auto"/>
            </w:tcBorders>
            <w:noWrap/>
            <w:vAlign w:val="center"/>
            <w:hideMark/>
          </w:tcPr>
          <w:p w14:paraId="34A956D0"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w:t>
            </w:r>
          </w:p>
        </w:tc>
        <w:tc>
          <w:tcPr>
            <w:tcW w:w="967" w:type="dxa"/>
            <w:tcBorders>
              <w:top w:val="nil"/>
              <w:left w:val="nil"/>
              <w:bottom w:val="single" w:sz="4" w:space="0" w:color="auto"/>
              <w:right w:val="single" w:sz="4" w:space="0" w:color="auto"/>
            </w:tcBorders>
            <w:noWrap/>
            <w:vAlign w:val="center"/>
            <w:hideMark/>
          </w:tcPr>
          <w:p w14:paraId="5F744B9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12,2%</w:t>
            </w:r>
          </w:p>
        </w:tc>
        <w:tc>
          <w:tcPr>
            <w:tcW w:w="802" w:type="dxa"/>
            <w:tcBorders>
              <w:top w:val="nil"/>
              <w:left w:val="nil"/>
              <w:bottom w:val="single" w:sz="4" w:space="0" w:color="auto"/>
              <w:right w:val="single" w:sz="4" w:space="0" w:color="auto"/>
            </w:tcBorders>
            <w:noWrap/>
            <w:vAlign w:val="center"/>
            <w:hideMark/>
          </w:tcPr>
          <w:p w14:paraId="0B83E9FF"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7</w:t>
            </w:r>
          </w:p>
        </w:tc>
        <w:tc>
          <w:tcPr>
            <w:tcW w:w="1142" w:type="dxa"/>
            <w:tcBorders>
              <w:top w:val="nil"/>
              <w:left w:val="nil"/>
              <w:bottom w:val="single" w:sz="4" w:space="0" w:color="auto"/>
              <w:right w:val="single" w:sz="4" w:space="0" w:color="auto"/>
            </w:tcBorders>
            <w:noWrap/>
            <w:vAlign w:val="center"/>
            <w:hideMark/>
          </w:tcPr>
          <w:p w14:paraId="5EB499D3"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12,1%</w:t>
            </w:r>
          </w:p>
        </w:tc>
        <w:tc>
          <w:tcPr>
            <w:tcW w:w="753" w:type="dxa"/>
            <w:tcBorders>
              <w:top w:val="nil"/>
              <w:left w:val="nil"/>
              <w:bottom w:val="single" w:sz="4" w:space="0" w:color="auto"/>
              <w:right w:val="single" w:sz="4" w:space="0" w:color="auto"/>
            </w:tcBorders>
            <w:noWrap/>
            <w:vAlign w:val="center"/>
            <w:hideMark/>
          </w:tcPr>
          <w:p w14:paraId="517E2AB6"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3</w:t>
            </w:r>
          </w:p>
        </w:tc>
        <w:tc>
          <w:tcPr>
            <w:tcW w:w="1072" w:type="dxa"/>
            <w:tcBorders>
              <w:top w:val="nil"/>
              <w:left w:val="nil"/>
              <w:bottom w:val="single" w:sz="4" w:space="0" w:color="auto"/>
              <w:right w:val="single" w:sz="4" w:space="0" w:color="auto"/>
            </w:tcBorders>
            <w:noWrap/>
            <w:vAlign w:val="center"/>
            <w:hideMark/>
          </w:tcPr>
          <w:p w14:paraId="70397A0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10,3%</w:t>
            </w:r>
          </w:p>
        </w:tc>
        <w:tc>
          <w:tcPr>
            <w:tcW w:w="797" w:type="dxa"/>
            <w:tcBorders>
              <w:top w:val="nil"/>
              <w:left w:val="nil"/>
              <w:bottom w:val="single" w:sz="4" w:space="0" w:color="auto"/>
              <w:right w:val="single" w:sz="4" w:space="0" w:color="auto"/>
            </w:tcBorders>
            <w:noWrap/>
            <w:vAlign w:val="center"/>
            <w:hideMark/>
          </w:tcPr>
          <w:p w14:paraId="680A7C29"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15</w:t>
            </w:r>
          </w:p>
        </w:tc>
        <w:tc>
          <w:tcPr>
            <w:tcW w:w="931" w:type="dxa"/>
            <w:tcBorders>
              <w:top w:val="nil"/>
              <w:left w:val="nil"/>
              <w:bottom w:val="single" w:sz="4" w:space="0" w:color="auto"/>
              <w:right w:val="single" w:sz="8" w:space="0" w:color="auto"/>
            </w:tcBorders>
            <w:noWrap/>
            <w:vAlign w:val="center"/>
            <w:hideMark/>
          </w:tcPr>
          <w:p w14:paraId="754A1E36"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11,7%</w:t>
            </w:r>
          </w:p>
        </w:tc>
      </w:tr>
      <w:tr w:rsidR="00F264E3" w:rsidRPr="00132B2B" w14:paraId="310B50DC" w14:textId="77777777" w:rsidTr="00132B2B">
        <w:trPr>
          <w:trHeight w:val="20"/>
          <w:jc w:val="center"/>
        </w:trPr>
        <w:tc>
          <w:tcPr>
            <w:tcW w:w="1550" w:type="dxa"/>
            <w:tcBorders>
              <w:top w:val="nil"/>
              <w:left w:val="single" w:sz="8" w:space="0" w:color="auto"/>
              <w:bottom w:val="single" w:sz="8" w:space="0" w:color="auto"/>
              <w:right w:val="nil"/>
            </w:tcBorders>
            <w:noWrap/>
            <w:vAlign w:val="bottom"/>
            <w:hideMark/>
          </w:tcPr>
          <w:p w14:paraId="44AB5235"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lang w:val="ru-RU"/>
                <w14:ligatures w14:val="standardContextual"/>
              </w:rPr>
              <w:t xml:space="preserve"> 45-59 </w:t>
            </w:r>
            <w:r w:rsidRPr="00132B2B">
              <w:rPr>
                <w:rFonts w:asciiTheme="majorBidi" w:eastAsia="Calibri" w:hAnsiTheme="majorBidi" w:cstheme="majorBidi"/>
                <w:kern w:val="2"/>
                <w:sz w:val="20"/>
                <w:szCs w:val="20"/>
                <w14:ligatures w14:val="standardContextual"/>
              </w:rPr>
              <w:t>years</w:t>
            </w:r>
          </w:p>
        </w:tc>
        <w:tc>
          <w:tcPr>
            <w:tcW w:w="979" w:type="dxa"/>
            <w:tcBorders>
              <w:top w:val="nil"/>
              <w:left w:val="single" w:sz="8" w:space="0" w:color="auto"/>
              <w:bottom w:val="single" w:sz="8" w:space="0" w:color="auto"/>
              <w:right w:val="single" w:sz="4" w:space="0" w:color="auto"/>
            </w:tcBorders>
            <w:noWrap/>
            <w:vAlign w:val="bottom"/>
            <w:hideMark/>
          </w:tcPr>
          <w:p w14:paraId="7B7D85BB"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Total</w:t>
            </w:r>
          </w:p>
        </w:tc>
        <w:tc>
          <w:tcPr>
            <w:tcW w:w="684" w:type="dxa"/>
            <w:tcBorders>
              <w:top w:val="nil"/>
              <w:left w:val="nil"/>
              <w:bottom w:val="single" w:sz="8" w:space="0" w:color="auto"/>
              <w:right w:val="single" w:sz="4" w:space="0" w:color="auto"/>
            </w:tcBorders>
            <w:noWrap/>
            <w:vAlign w:val="center"/>
            <w:hideMark/>
          </w:tcPr>
          <w:p w14:paraId="198045E8"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w:t>
            </w:r>
          </w:p>
        </w:tc>
        <w:tc>
          <w:tcPr>
            <w:tcW w:w="967" w:type="dxa"/>
            <w:tcBorders>
              <w:top w:val="nil"/>
              <w:left w:val="nil"/>
              <w:bottom w:val="single" w:sz="8" w:space="0" w:color="auto"/>
              <w:right w:val="single" w:sz="4" w:space="0" w:color="auto"/>
            </w:tcBorders>
            <w:noWrap/>
            <w:vAlign w:val="center"/>
            <w:hideMark/>
          </w:tcPr>
          <w:p w14:paraId="69068934"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24,4%</w:t>
            </w:r>
          </w:p>
        </w:tc>
        <w:tc>
          <w:tcPr>
            <w:tcW w:w="802" w:type="dxa"/>
            <w:tcBorders>
              <w:top w:val="nil"/>
              <w:left w:val="nil"/>
              <w:bottom w:val="single" w:sz="8" w:space="0" w:color="auto"/>
              <w:right w:val="single" w:sz="4" w:space="0" w:color="auto"/>
            </w:tcBorders>
            <w:noWrap/>
            <w:vAlign w:val="center"/>
            <w:hideMark/>
          </w:tcPr>
          <w:p w14:paraId="3ACA8B60"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15</w:t>
            </w:r>
          </w:p>
        </w:tc>
        <w:tc>
          <w:tcPr>
            <w:tcW w:w="1142" w:type="dxa"/>
            <w:tcBorders>
              <w:top w:val="nil"/>
              <w:left w:val="nil"/>
              <w:bottom w:val="single" w:sz="8" w:space="0" w:color="auto"/>
              <w:right w:val="single" w:sz="4" w:space="0" w:color="auto"/>
            </w:tcBorders>
            <w:noWrap/>
            <w:vAlign w:val="center"/>
            <w:hideMark/>
          </w:tcPr>
          <w:p w14:paraId="0751A28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25,9%</w:t>
            </w:r>
          </w:p>
        </w:tc>
        <w:tc>
          <w:tcPr>
            <w:tcW w:w="753" w:type="dxa"/>
            <w:tcBorders>
              <w:top w:val="nil"/>
              <w:left w:val="nil"/>
              <w:bottom w:val="single" w:sz="8" w:space="0" w:color="auto"/>
              <w:right w:val="single" w:sz="4" w:space="0" w:color="auto"/>
            </w:tcBorders>
            <w:noWrap/>
            <w:vAlign w:val="center"/>
            <w:hideMark/>
          </w:tcPr>
          <w:p w14:paraId="61D5589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7</w:t>
            </w:r>
          </w:p>
        </w:tc>
        <w:tc>
          <w:tcPr>
            <w:tcW w:w="1072" w:type="dxa"/>
            <w:tcBorders>
              <w:top w:val="nil"/>
              <w:left w:val="nil"/>
              <w:bottom w:val="single" w:sz="8" w:space="0" w:color="auto"/>
              <w:right w:val="single" w:sz="4" w:space="0" w:color="auto"/>
            </w:tcBorders>
            <w:noWrap/>
            <w:vAlign w:val="center"/>
            <w:hideMark/>
          </w:tcPr>
          <w:p w14:paraId="50B50F4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24,1%</w:t>
            </w:r>
          </w:p>
        </w:tc>
        <w:tc>
          <w:tcPr>
            <w:tcW w:w="797" w:type="dxa"/>
            <w:tcBorders>
              <w:top w:val="nil"/>
              <w:left w:val="nil"/>
              <w:bottom w:val="single" w:sz="8" w:space="0" w:color="auto"/>
              <w:right w:val="single" w:sz="4" w:space="0" w:color="auto"/>
            </w:tcBorders>
            <w:noWrap/>
            <w:vAlign w:val="center"/>
            <w:hideMark/>
          </w:tcPr>
          <w:p w14:paraId="4D189A0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32</w:t>
            </w:r>
          </w:p>
        </w:tc>
        <w:tc>
          <w:tcPr>
            <w:tcW w:w="931" w:type="dxa"/>
            <w:tcBorders>
              <w:top w:val="nil"/>
              <w:left w:val="nil"/>
              <w:bottom w:val="single" w:sz="8" w:space="0" w:color="auto"/>
              <w:right w:val="single" w:sz="8" w:space="0" w:color="auto"/>
            </w:tcBorders>
            <w:noWrap/>
            <w:vAlign w:val="center"/>
            <w:hideMark/>
          </w:tcPr>
          <w:p w14:paraId="43DA841E"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25,0%</w:t>
            </w:r>
          </w:p>
        </w:tc>
      </w:tr>
      <w:tr w:rsidR="00F264E3" w:rsidRPr="00132B2B" w14:paraId="4B30DA6D" w14:textId="77777777" w:rsidTr="00132B2B">
        <w:trPr>
          <w:trHeight w:val="20"/>
          <w:jc w:val="center"/>
        </w:trPr>
        <w:tc>
          <w:tcPr>
            <w:tcW w:w="1550" w:type="dxa"/>
            <w:tcBorders>
              <w:top w:val="nil"/>
              <w:left w:val="single" w:sz="8" w:space="0" w:color="auto"/>
              <w:bottom w:val="nil"/>
              <w:right w:val="nil"/>
            </w:tcBorders>
            <w:noWrap/>
            <w:vAlign w:val="bottom"/>
            <w:hideMark/>
          </w:tcPr>
          <w:p w14:paraId="1A29D939"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979" w:type="dxa"/>
            <w:tcBorders>
              <w:top w:val="nil"/>
              <w:left w:val="single" w:sz="8" w:space="0" w:color="auto"/>
              <w:bottom w:val="single" w:sz="4" w:space="0" w:color="auto"/>
              <w:right w:val="single" w:sz="4" w:space="0" w:color="auto"/>
            </w:tcBorders>
            <w:noWrap/>
            <w:vAlign w:val="bottom"/>
            <w:hideMark/>
          </w:tcPr>
          <w:p w14:paraId="527F1641"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Man</w:t>
            </w:r>
          </w:p>
        </w:tc>
        <w:tc>
          <w:tcPr>
            <w:tcW w:w="684" w:type="dxa"/>
            <w:tcBorders>
              <w:top w:val="nil"/>
              <w:left w:val="nil"/>
              <w:bottom w:val="single" w:sz="4" w:space="0" w:color="auto"/>
              <w:right w:val="single" w:sz="4" w:space="0" w:color="auto"/>
            </w:tcBorders>
            <w:noWrap/>
            <w:vAlign w:val="center"/>
            <w:hideMark/>
          </w:tcPr>
          <w:p w14:paraId="70859E7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w:t>
            </w:r>
          </w:p>
        </w:tc>
        <w:tc>
          <w:tcPr>
            <w:tcW w:w="967" w:type="dxa"/>
            <w:tcBorders>
              <w:top w:val="nil"/>
              <w:left w:val="nil"/>
              <w:bottom w:val="single" w:sz="4" w:space="0" w:color="auto"/>
              <w:right w:val="single" w:sz="4" w:space="0" w:color="auto"/>
            </w:tcBorders>
            <w:noWrap/>
            <w:vAlign w:val="center"/>
            <w:hideMark/>
          </w:tcPr>
          <w:p w14:paraId="511C454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24,4%</w:t>
            </w:r>
          </w:p>
        </w:tc>
        <w:tc>
          <w:tcPr>
            <w:tcW w:w="802" w:type="dxa"/>
            <w:tcBorders>
              <w:top w:val="nil"/>
              <w:left w:val="nil"/>
              <w:bottom w:val="single" w:sz="4" w:space="0" w:color="auto"/>
              <w:right w:val="single" w:sz="4" w:space="0" w:color="auto"/>
            </w:tcBorders>
            <w:noWrap/>
            <w:vAlign w:val="center"/>
            <w:hideMark/>
          </w:tcPr>
          <w:p w14:paraId="449B2BF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14</w:t>
            </w:r>
          </w:p>
        </w:tc>
        <w:tc>
          <w:tcPr>
            <w:tcW w:w="1142" w:type="dxa"/>
            <w:tcBorders>
              <w:top w:val="nil"/>
              <w:left w:val="nil"/>
              <w:bottom w:val="single" w:sz="4" w:space="0" w:color="auto"/>
              <w:right w:val="single" w:sz="4" w:space="0" w:color="auto"/>
            </w:tcBorders>
            <w:noWrap/>
            <w:vAlign w:val="center"/>
            <w:hideMark/>
          </w:tcPr>
          <w:p w14:paraId="0FF31EF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24,1%</w:t>
            </w:r>
          </w:p>
        </w:tc>
        <w:tc>
          <w:tcPr>
            <w:tcW w:w="753" w:type="dxa"/>
            <w:tcBorders>
              <w:top w:val="nil"/>
              <w:left w:val="nil"/>
              <w:bottom w:val="single" w:sz="4" w:space="0" w:color="auto"/>
              <w:right w:val="single" w:sz="4" w:space="0" w:color="auto"/>
            </w:tcBorders>
            <w:noWrap/>
            <w:vAlign w:val="center"/>
            <w:hideMark/>
          </w:tcPr>
          <w:p w14:paraId="7CF6C675"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7</w:t>
            </w:r>
          </w:p>
        </w:tc>
        <w:tc>
          <w:tcPr>
            <w:tcW w:w="1072" w:type="dxa"/>
            <w:tcBorders>
              <w:top w:val="nil"/>
              <w:left w:val="nil"/>
              <w:bottom w:val="single" w:sz="4" w:space="0" w:color="auto"/>
              <w:right w:val="single" w:sz="4" w:space="0" w:color="auto"/>
            </w:tcBorders>
            <w:noWrap/>
            <w:vAlign w:val="center"/>
            <w:hideMark/>
          </w:tcPr>
          <w:p w14:paraId="22287E93"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24,1%</w:t>
            </w:r>
          </w:p>
        </w:tc>
        <w:tc>
          <w:tcPr>
            <w:tcW w:w="797" w:type="dxa"/>
            <w:tcBorders>
              <w:top w:val="nil"/>
              <w:left w:val="nil"/>
              <w:bottom w:val="single" w:sz="4" w:space="0" w:color="auto"/>
              <w:right w:val="single" w:sz="4" w:space="0" w:color="auto"/>
            </w:tcBorders>
            <w:noWrap/>
            <w:vAlign w:val="center"/>
            <w:hideMark/>
          </w:tcPr>
          <w:p w14:paraId="068CA1DA"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31</w:t>
            </w:r>
          </w:p>
        </w:tc>
        <w:tc>
          <w:tcPr>
            <w:tcW w:w="931" w:type="dxa"/>
            <w:tcBorders>
              <w:top w:val="nil"/>
              <w:left w:val="nil"/>
              <w:bottom w:val="single" w:sz="4" w:space="0" w:color="auto"/>
              <w:right w:val="single" w:sz="8" w:space="0" w:color="auto"/>
            </w:tcBorders>
            <w:noWrap/>
            <w:vAlign w:val="center"/>
            <w:hideMark/>
          </w:tcPr>
          <w:p w14:paraId="5C29D08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24,2%</w:t>
            </w:r>
          </w:p>
        </w:tc>
      </w:tr>
      <w:tr w:rsidR="00F264E3" w:rsidRPr="00132B2B" w14:paraId="792686D4" w14:textId="77777777" w:rsidTr="00132B2B">
        <w:trPr>
          <w:trHeight w:val="20"/>
          <w:jc w:val="center"/>
        </w:trPr>
        <w:tc>
          <w:tcPr>
            <w:tcW w:w="1550" w:type="dxa"/>
            <w:tcBorders>
              <w:top w:val="nil"/>
              <w:left w:val="single" w:sz="8" w:space="0" w:color="auto"/>
              <w:bottom w:val="nil"/>
              <w:right w:val="nil"/>
            </w:tcBorders>
            <w:noWrap/>
            <w:vAlign w:val="bottom"/>
            <w:hideMark/>
          </w:tcPr>
          <w:p w14:paraId="2C38613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proofErr w:type="gramStart"/>
            <w:r w:rsidRPr="00132B2B">
              <w:rPr>
                <w:rFonts w:asciiTheme="majorBidi" w:eastAsia="Calibri" w:hAnsiTheme="majorBidi" w:cstheme="majorBidi"/>
                <w:kern w:val="2"/>
                <w:sz w:val="20"/>
                <w:szCs w:val="20"/>
                <w14:ligatures w14:val="standardContextual"/>
              </w:rPr>
              <w:t>Elderly</w:t>
            </w:r>
            <w:r w:rsidRPr="00132B2B">
              <w:rPr>
                <w:rFonts w:asciiTheme="majorBidi" w:eastAsia="Calibri" w:hAnsiTheme="majorBidi" w:cstheme="majorBidi"/>
                <w:kern w:val="2"/>
                <w:sz w:val="20"/>
                <w:szCs w:val="20"/>
                <w:lang w:val="ru-RU"/>
                <w14:ligatures w14:val="standardContextual"/>
              </w:rPr>
              <w:t xml:space="preserve"> ,</w:t>
            </w:r>
            <w:proofErr w:type="gramEnd"/>
          </w:p>
        </w:tc>
        <w:tc>
          <w:tcPr>
            <w:tcW w:w="979" w:type="dxa"/>
            <w:tcBorders>
              <w:top w:val="nil"/>
              <w:left w:val="single" w:sz="8" w:space="0" w:color="auto"/>
              <w:bottom w:val="single" w:sz="4" w:space="0" w:color="auto"/>
              <w:right w:val="single" w:sz="4" w:space="0" w:color="auto"/>
            </w:tcBorders>
            <w:noWrap/>
            <w:vAlign w:val="bottom"/>
            <w:hideMark/>
          </w:tcPr>
          <w:p w14:paraId="09F637C0"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Woman</w:t>
            </w:r>
          </w:p>
        </w:tc>
        <w:tc>
          <w:tcPr>
            <w:tcW w:w="684" w:type="dxa"/>
            <w:tcBorders>
              <w:top w:val="nil"/>
              <w:left w:val="nil"/>
              <w:bottom w:val="single" w:sz="4" w:space="0" w:color="auto"/>
              <w:right w:val="single" w:sz="4" w:space="0" w:color="auto"/>
            </w:tcBorders>
            <w:noWrap/>
            <w:vAlign w:val="center"/>
            <w:hideMark/>
          </w:tcPr>
          <w:p w14:paraId="45C58024"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11</w:t>
            </w:r>
          </w:p>
        </w:tc>
        <w:tc>
          <w:tcPr>
            <w:tcW w:w="967" w:type="dxa"/>
            <w:tcBorders>
              <w:top w:val="nil"/>
              <w:left w:val="nil"/>
              <w:bottom w:val="single" w:sz="4" w:space="0" w:color="auto"/>
              <w:right w:val="single" w:sz="4" w:space="0" w:color="auto"/>
            </w:tcBorders>
            <w:noWrap/>
            <w:vAlign w:val="center"/>
            <w:hideMark/>
          </w:tcPr>
          <w:p w14:paraId="44D1B22E"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26,8%</w:t>
            </w:r>
          </w:p>
        </w:tc>
        <w:tc>
          <w:tcPr>
            <w:tcW w:w="802" w:type="dxa"/>
            <w:tcBorders>
              <w:top w:val="nil"/>
              <w:left w:val="nil"/>
              <w:bottom w:val="single" w:sz="4" w:space="0" w:color="auto"/>
              <w:right w:val="single" w:sz="4" w:space="0" w:color="auto"/>
            </w:tcBorders>
            <w:noWrap/>
            <w:vAlign w:val="center"/>
            <w:hideMark/>
          </w:tcPr>
          <w:p w14:paraId="3BAD650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16</w:t>
            </w:r>
          </w:p>
        </w:tc>
        <w:tc>
          <w:tcPr>
            <w:tcW w:w="1142" w:type="dxa"/>
            <w:tcBorders>
              <w:top w:val="nil"/>
              <w:left w:val="nil"/>
              <w:bottom w:val="single" w:sz="4" w:space="0" w:color="auto"/>
              <w:right w:val="single" w:sz="4" w:space="0" w:color="auto"/>
            </w:tcBorders>
            <w:noWrap/>
            <w:vAlign w:val="center"/>
            <w:hideMark/>
          </w:tcPr>
          <w:p w14:paraId="0609A0FA"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27,6%</w:t>
            </w:r>
          </w:p>
        </w:tc>
        <w:tc>
          <w:tcPr>
            <w:tcW w:w="753" w:type="dxa"/>
            <w:tcBorders>
              <w:top w:val="nil"/>
              <w:left w:val="nil"/>
              <w:bottom w:val="single" w:sz="4" w:space="0" w:color="auto"/>
              <w:right w:val="single" w:sz="4" w:space="0" w:color="auto"/>
            </w:tcBorders>
            <w:noWrap/>
            <w:vAlign w:val="center"/>
            <w:hideMark/>
          </w:tcPr>
          <w:p w14:paraId="3A714BB8"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7</w:t>
            </w:r>
          </w:p>
        </w:tc>
        <w:tc>
          <w:tcPr>
            <w:tcW w:w="1072" w:type="dxa"/>
            <w:tcBorders>
              <w:top w:val="nil"/>
              <w:left w:val="nil"/>
              <w:bottom w:val="single" w:sz="4" w:space="0" w:color="auto"/>
              <w:right w:val="single" w:sz="4" w:space="0" w:color="auto"/>
            </w:tcBorders>
            <w:noWrap/>
            <w:vAlign w:val="center"/>
            <w:hideMark/>
          </w:tcPr>
          <w:p w14:paraId="2772B4D3"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24,1%</w:t>
            </w:r>
          </w:p>
        </w:tc>
        <w:tc>
          <w:tcPr>
            <w:tcW w:w="797" w:type="dxa"/>
            <w:tcBorders>
              <w:top w:val="nil"/>
              <w:left w:val="nil"/>
              <w:bottom w:val="single" w:sz="4" w:space="0" w:color="auto"/>
              <w:right w:val="single" w:sz="4" w:space="0" w:color="auto"/>
            </w:tcBorders>
            <w:noWrap/>
            <w:vAlign w:val="center"/>
            <w:hideMark/>
          </w:tcPr>
          <w:p w14:paraId="768FDA7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34</w:t>
            </w:r>
          </w:p>
        </w:tc>
        <w:tc>
          <w:tcPr>
            <w:tcW w:w="931" w:type="dxa"/>
            <w:tcBorders>
              <w:top w:val="nil"/>
              <w:left w:val="nil"/>
              <w:bottom w:val="single" w:sz="4" w:space="0" w:color="auto"/>
              <w:right w:val="single" w:sz="8" w:space="0" w:color="auto"/>
            </w:tcBorders>
            <w:noWrap/>
            <w:vAlign w:val="center"/>
            <w:hideMark/>
          </w:tcPr>
          <w:p w14:paraId="07BD02F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26,6%</w:t>
            </w:r>
          </w:p>
        </w:tc>
      </w:tr>
      <w:tr w:rsidR="00F264E3" w:rsidRPr="00132B2B" w14:paraId="46CF31B2" w14:textId="77777777" w:rsidTr="00132B2B">
        <w:trPr>
          <w:trHeight w:val="20"/>
          <w:jc w:val="center"/>
        </w:trPr>
        <w:tc>
          <w:tcPr>
            <w:tcW w:w="1550" w:type="dxa"/>
            <w:tcBorders>
              <w:top w:val="nil"/>
              <w:left w:val="single" w:sz="8" w:space="0" w:color="auto"/>
              <w:bottom w:val="single" w:sz="8" w:space="0" w:color="auto"/>
              <w:right w:val="nil"/>
            </w:tcBorders>
            <w:noWrap/>
            <w:vAlign w:val="bottom"/>
            <w:hideMark/>
          </w:tcPr>
          <w:p w14:paraId="560F6475"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lang w:val="ru-RU"/>
                <w14:ligatures w14:val="standardContextual"/>
              </w:rPr>
              <w:t xml:space="preserve">60-74 </w:t>
            </w:r>
            <w:r w:rsidRPr="00132B2B">
              <w:rPr>
                <w:rFonts w:asciiTheme="majorBidi" w:eastAsia="Calibri" w:hAnsiTheme="majorBidi" w:cstheme="majorBidi"/>
                <w:kern w:val="2"/>
                <w:sz w:val="20"/>
                <w:szCs w:val="20"/>
                <w14:ligatures w14:val="standardContextual"/>
              </w:rPr>
              <w:t>years</w:t>
            </w:r>
          </w:p>
        </w:tc>
        <w:tc>
          <w:tcPr>
            <w:tcW w:w="979" w:type="dxa"/>
            <w:tcBorders>
              <w:top w:val="nil"/>
              <w:left w:val="single" w:sz="8" w:space="0" w:color="auto"/>
              <w:bottom w:val="nil"/>
              <w:right w:val="single" w:sz="4" w:space="0" w:color="auto"/>
            </w:tcBorders>
            <w:noWrap/>
            <w:vAlign w:val="bottom"/>
            <w:hideMark/>
          </w:tcPr>
          <w:p w14:paraId="278DB6A5"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Total</w:t>
            </w:r>
          </w:p>
        </w:tc>
        <w:tc>
          <w:tcPr>
            <w:tcW w:w="684" w:type="dxa"/>
            <w:tcBorders>
              <w:top w:val="single" w:sz="4" w:space="0" w:color="auto"/>
              <w:left w:val="single" w:sz="4" w:space="0" w:color="auto"/>
              <w:bottom w:val="nil"/>
              <w:right w:val="single" w:sz="4" w:space="0" w:color="auto"/>
            </w:tcBorders>
            <w:noWrap/>
            <w:vAlign w:val="center"/>
            <w:hideMark/>
          </w:tcPr>
          <w:p w14:paraId="02A49F2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21</w:t>
            </w:r>
          </w:p>
        </w:tc>
        <w:tc>
          <w:tcPr>
            <w:tcW w:w="967" w:type="dxa"/>
            <w:tcBorders>
              <w:top w:val="single" w:sz="4" w:space="0" w:color="auto"/>
              <w:left w:val="nil"/>
              <w:bottom w:val="nil"/>
              <w:right w:val="single" w:sz="4" w:space="0" w:color="auto"/>
            </w:tcBorders>
            <w:noWrap/>
            <w:vAlign w:val="center"/>
            <w:hideMark/>
          </w:tcPr>
          <w:p w14:paraId="00795789"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51,2%</w:t>
            </w:r>
          </w:p>
        </w:tc>
        <w:tc>
          <w:tcPr>
            <w:tcW w:w="802" w:type="dxa"/>
            <w:tcBorders>
              <w:top w:val="single" w:sz="4" w:space="0" w:color="auto"/>
              <w:left w:val="nil"/>
              <w:bottom w:val="nil"/>
              <w:right w:val="single" w:sz="4" w:space="0" w:color="auto"/>
            </w:tcBorders>
            <w:noWrap/>
            <w:vAlign w:val="center"/>
            <w:hideMark/>
          </w:tcPr>
          <w:p w14:paraId="4A1FCC22"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30</w:t>
            </w:r>
          </w:p>
        </w:tc>
        <w:tc>
          <w:tcPr>
            <w:tcW w:w="1142" w:type="dxa"/>
            <w:tcBorders>
              <w:top w:val="single" w:sz="4" w:space="0" w:color="auto"/>
              <w:left w:val="nil"/>
              <w:bottom w:val="nil"/>
              <w:right w:val="single" w:sz="4" w:space="0" w:color="auto"/>
            </w:tcBorders>
            <w:noWrap/>
            <w:vAlign w:val="center"/>
            <w:hideMark/>
          </w:tcPr>
          <w:p w14:paraId="40E70904"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51,7%</w:t>
            </w:r>
          </w:p>
        </w:tc>
        <w:tc>
          <w:tcPr>
            <w:tcW w:w="753" w:type="dxa"/>
            <w:tcBorders>
              <w:top w:val="single" w:sz="4" w:space="0" w:color="auto"/>
              <w:left w:val="nil"/>
              <w:bottom w:val="nil"/>
              <w:right w:val="single" w:sz="4" w:space="0" w:color="auto"/>
            </w:tcBorders>
            <w:noWrap/>
            <w:vAlign w:val="center"/>
            <w:hideMark/>
          </w:tcPr>
          <w:p w14:paraId="7A51AEE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14</w:t>
            </w:r>
          </w:p>
        </w:tc>
        <w:tc>
          <w:tcPr>
            <w:tcW w:w="1072" w:type="dxa"/>
            <w:tcBorders>
              <w:top w:val="single" w:sz="4" w:space="0" w:color="auto"/>
              <w:left w:val="nil"/>
              <w:bottom w:val="nil"/>
              <w:right w:val="single" w:sz="4" w:space="0" w:color="auto"/>
            </w:tcBorders>
            <w:noWrap/>
            <w:vAlign w:val="center"/>
            <w:hideMark/>
          </w:tcPr>
          <w:p w14:paraId="2AB09716"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48,3%</w:t>
            </w:r>
          </w:p>
        </w:tc>
        <w:tc>
          <w:tcPr>
            <w:tcW w:w="797" w:type="dxa"/>
            <w:tcBorders>
              <w:top w:val="single" w:sz="4" w:space="0" w:color="auto"/>
              <w:left w:val="nil"/>
              <w:bottom w:val="nil"/>
              <w:right w:val="single" w:sz="4" w:space="0" w:color="auto"/>
            </w:tcBorders>
            <w:noWrap/>
            <w:vAlign w:val="center"/>
            <w:hideMark/>
          </w:tcPr>
          <w:p w14:paraId="53A0EA80"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65</w:t>
            </w:r>
          </w:p>
        </w:tc>
        <w:tc>
          <w:tcPr>
            <w:tcW w:w="931" w:type="dxa"/>
            <w:tcBorders>
              <w:top w:val="nil"/>
              <w:left w:val="single" w:sz="4" w:space="0" w:color="auto"/>
              <w:bottom w:val="nil"/>
              <w:right w:val="single" w:sz="8" w:space="0" w:color="auto"/>
            </w:tcBorders>
            <w:noWrap/>
            <w:vAlign w:val="center"/>
            <w:hideMark/>
          </w:tcPr>
          <w:p w14:paraId="5F51239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50,8%</w:t>
            </w:r>
          </w:p>
        </w:tc>
      </w:tr>
      <w:tr w:rsidR="00F264E3" w:rsidRPr="00132B2B" w14:paraId="110C81F9" w14:textId="77777777" w:rsidTr="00132B2B">
        <w:trPr>
          <w:trHeight w:val="20"/>
          <w:jc w:val="center"/>
        </w:trPr>
        <w:tc>
          <w:tcPr>
            <w:tcW w:w="1550" w:type="dxa"/>
            <w:tcBorders>
              <w:top w:val="nil"/>
              <w:left w:val="single" w:sz="8" w:space="0" w:color="auto"/>
              <w:bottom w:val="nil"/>
              <w:right w:val="nil"/>
            </w:tcBorders>
            <w:noWrap/>
            <w:vAlign w:val="bottom"/>
            <w:hideMark/>
          </w:tcPr>
          <w:p w14:paraId="15B24B5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979" w:type="dxa"/>
            <w:tcBorders>
              <w:top w:val="single" w:sz="8" w:space="0" w:color="auto"/>
              <w:left w:val="single" w:sz="8" w:space="0" w:color="auto"/>
              <w:bottom w:val="single" w:sz="4" w:space="0" w:color="auto"/>
              <w:right w:val="single" w:sz="4" w:space="0" w:color="auto"/>
            </w:tcBorders>
            <w:noWrap/>
            <w:vAlign w:val="bottom"/>
            <w:hideMark/>
          </w:tcPr>
          <w:p w14:paraId="7400FBA1"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Man</w:t>
            </w:r>
          </w:p>
        </w:tc>
        <w:tc>
          <w:tcPr>
            <w:tcW w:w="684" w:type="dxa"/>
            <w:tcBorders>
              <w:top w:val="single" w:sz="8" w:space="0" w:color="auto"/>
              <w:left w:val="nil"/>
              <w:bottom w:val="single" w:sz="4" w:space="0" w:color="auto"/>
              <w:right w:val="single" w:sz="4" w:space="0" w:color="auto"/>
            </w:tcBorders>
            <w:noWrap/>
            <w:vAlign w:val="center"/>
            <w:hideMark/>
          </w:tcPr>
          <w:p w14:paraId="64C24413"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6</w:t>
            </w:r>
          </w:p>
        </w:tc>
        <w:tc>
          <w:tcPr>
            <w:tcW w:w="967" w:type="dxa"/>
            <w:tcBorders>
              <w:top w:val="single" w:sz="8" w:space="0" w:color="auto"/>
              <w:left w:val="nil"/>
              <w:bottom w:val="single" w:sz="4" w:space="0" w:color="auto"/>
              <w:right w:val="single" w:sz="4" w:space="0" w:color="auto"/>
            </w:tcBorders>
            <w:noWrap/>
            <w:vAlign w:val="center"/>
            <w:hideMark/>
          </w:tcPr>
          <w:p w14:paraId="0BBA7F06"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14,6%</w:t>
            </w:r>
          </w:p>
        </w:tc>
        <w:tc>
          <w:tcPr>
            <w:tcW w:w="802" w:type="dxa"/>
            <w:tcBorders>
              <w:top w:val="single" w:sz="8" w:space="0" w:color="auto"/>
              <w:left w:val="nil"/>
              <w:bottom w:val="single" w:sz="4" w:space="0" w:color="auto"/>
              <w:right w:val="single" w:sz="4" w:space="0" w:color="auto"/>
            </w:tcBorders>
            <w:noWrap/>
            <w:vAlign w:val="center"/>
            <w:hideMark/>
          </w:tcPr>
          <w:p w14:paraId="0CA7AEC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7</w:t>
            </w:r>
          </w:p>
        </w:tc>
        <w:tc>
          <w:tcPr>
            <w:tcW w:w="1142" w:type="dxa"/>
            <w:tcBorders>
              <w:top w:val="single" w:sz="8" w:space="0" w:color="auto"/>
              <w:left w:val="nil"/>
              <w:bottom w:val="single" w:sz="4" w:space="0" w:color="auto"/>
              <w:right w:val="single" w:sz="4" w:space="0" w:color="auto"/>
            </w:tcBorders>
            <w:noWrap/>
            <w:vAlign w:val="center"/>
            <w:hideMark/>
          </w:tcPr>
          <w:p w14:paraId="17E982A2"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12,1%</w:t>
            </w:r>
          </w:p>
        </w:tc>
        <w:tc>
          <w:tcPr>
            <w:tcW w:w="753" w:type="dxa"/>
            <w:tcBorders>
              <w:top w:val="single" w:sz="8" w:space="0" w:color="auto"/>
              <w:left w:val="nil"/>
              <w:bottom w:val="single" w:sz="4" w:space="0" w:color="auto"/>
              <w:right w:val="single" w:sz="4" w:space="0" w:color="auto"/>
            </w:tcBorders>
            <w:noWrap/>
            <w:vAlign w:val="center"/>
            <w:hideMark/>
          </w:tcPr>
          <w:p w14:paraId="74452F0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w:t>
            </w:r>
          </w:p>
        </w:tc>
        <w:tc>
          <w:tcPr>
            <w:tcW w:w="1072" w:type="dxa"/>
            <w:tcBorders>
              <w:top w:val="single" w:sz="8" w:space="0" w:color="auto"/>
              <w:left w:val="nil"/>
              <w:bottom w:val="single" w:sz="4" w:space="0" w:color="auto"/>
              <w:right w:val="single" w:sz="4" w:space="0" w:color="auto"/>
            </w:tcBorders>
            <w:noWrap/>
            <w:vAlign w:val="center"/>
            <w:hideMark/>
          </w:tcPr>
          <w:p w14:paraId="1D29355F"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17,2%</w:t>
            </w:r>
          </w:p>
        </w:tc>
        <w:tc>
          <w:tcPr>
            <w:tcW w:w="797" w:type="dxa"/>
            <w:tcBorders>
              <w:top w:val="single" w:sz="8" w:space="0" w:color="auto"/>
              <w:left w:val="nil"/>
              <w:bottom w:val="single" w:sz="4" w:space="0" w:color="auto"/>
              <w:right w:val="single" w:sz="4" w:space="0" w:color="auto"/>
            </w:tcBorders>
            <w:noWrap/>
            <w:vAlign w:val="center"/>
            <w:hideMark/>
          </w:tcPr>
          <w:p w14:paraId="50F148AA"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18</w:t>
            </w:r>
          </w:p>
        </w:tc>
        <w:tc>
          <w:tcPr>
            <w:tcW w:w="931" w:type="dxa"/>
            <w:tcBorders>
              <w:top w:val="single" w:sz="8" w:space="0" w:color="auto"/>
              <w:left w:val="nil"/>
              <w:bottom w:val="single" w:sz="4" w:space="0" w:color="auto"/>
              <w:right w:val="single" w:sz="8" w:space="0" w:color="auto"/>
            </w:tcBorders>
            <w:noWrap/>
            <w:vAlign w:val="center"/>
            <w:hideMark/>
          </w:tcPr>
          <w:p w14:paraId="537D82B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14,1%</w:t>
            </w:r>
          </w:p>
        </w:tc>
      </w:tr>
      <w:tr w:rsidR="00F264E3" w:rsidRPr="00132B2B" w14:paraId="7BD8D22E" w14:textId="77777777" w:rsidTr="00132B2B">
        <w:trPr>
          <w:trHeight w:val="20"/>
          <w:jc w:val="center"/>
        </w:trPr>
        <w:tc>
          <w:tcPr>
            <w:tcW w:w="1550" w:type="dxa"/>
            <w:tcBorders>
              <w:top w:val="nil"/>
              <w:left w:val="single" w:sz="8" w:space="0" w:color="auto"/>
              <w:bottom w:val="nil"/>
              <w:right w:val="nil"/>
            </w:tcBorders>
            <w:noWrap/>
            <w:vAlign w:val="bottom"/>
            <w:hideMark/>
          </w:tcPr>
          <w:p w14:paraId="27E2D89E"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proofErr w:type="gramStart"/>
            <w:r w:rsidRPr="00132B2B">
              <w:rPr>
                <w:rFonts w:asciiTheme="majorBidi" w:eastAsia="Calibri" w:hAnsiTheme="majorBidi" w:cstheme="majorBidi"/>
                <w:kern w:val="2"/>
                <w:sz w:val="20"/>
                <w:szCs w:val="20"/>
                <w14:ligatures w14:val="standardContextual"/>
              </w:rPr>
              <w:t>Senile</w:t>
            </w:r>
            <w:r w:rsidRPr="00132B2B">
              <w:rPr>
                <w:rFonts w:asciiTheme="majorBidi" w:eastAsia="Calibri" w:hAnsiTheme="majorBidi" w:cstheme="majorBidi"/>
                <w:kern w:val="2"/>
                <w:sz w:val="20"/>
                <w:szCs w:val="20"/>
                <w:lang w:val="ru-RU"/>
                <w14:ligatures w14:val="standardContextual"/>
              </w:rPr>
              <w:t xml:space="preserve"> ,</w:t>
            </w:r>
            <w:proofErr w:type="gramEnd"/>
          </w:p>
        </w:tc>
        <w:tc>
          <w:tcPr>
            <w:tcW w:w="979" w:type="dxa"/>
            <w:tcBorders>
              <w:top w:val="nil"/>
              <w:left w:val="single" w:sz="8" w:space="0" w:color="auto"/>
              <w:bottom w:val="single" w:sz="4" w:space="0" w:color="auto"/>
              <w:right w:val="single" w:sz="4" w:space="0" w:color="auto"/>
            </w:tcBorders>
            <w:noWrap/>
            <w:vAlign w:val="bottom"/>
            <w:hideMark/>
          </w:tcPr>
          <w:p w14:paraId="449CF0DA"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Woman</w:t>
            </w:r>
          </w:p>
        </w:tc>
        <w:tc>
          <w:tcPr>
            <w:tcW w:w="684" w:type="dxa"/>
            <w:tcBorders>
              <w:top w:val="nil"/>
              <w:left w:val="nil"/>
              <w:bottom w:val="single" w:sz="4" w:space="0" w:color="auto"/>
              <w:right w:val="single" w:sz="4" w:space="0" w:color="auto"/>
            </w:tcBorders>
            <w:noWrap/>
            <w:vAlign w:val="center"/>
            <w:hideMark/>
          </w:tcPr>
          <w:p w14:paraId="53D0B1A9"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4</w:t>
            </w:r>
          </w:p>
        </w:tc>
        <w:tc>
          <w:tcPr>
            <w:tcW w:w="967" w:type="dxa"/>
            <w:tcBorders>
              <w:top w:val="nil"/>
              <w:left w:val="nil"/>
              <w:bottom w:val="single" w:sz="4" w:space="0" w:color="auto"/>
              <w:right w:val="single" w:sz="4" w:space="0" w:color="auto"/>
            </w:tcBorders>
            <w:noWrap/>
            <w:vAlign w:val="center"/>
            <w:hideMark/>
          </w:tcPr>
          <w:p w14:paraId="083C91C4"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9,8%</w:t>
            </w:r>
          </w:p>
        </w:tc>
        <w:tc>
          <w:tcPr>
            <w:tcW w:w="802" w:type="dxa"/>
            <w:tcBorders>
              <w:top w:val="nil"/>
              <w:left w:val="nil"/>
              <w:bottom w:val="single" w:sz="4" w:space="0" w:color="auto"/>
              <w:right w:val="single" w:sz="4" w:space="0" w:color="auto"/>
            </w:tcBorders>
            <w:noWrap/>
            <w:vAlign w:val="center"/>
            <w:hideMark/>
          </w:tcPr>
          <w:p w14:paraId="16B0B8DD"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6</w:t>
            </w:r>
          </w:p>
        </w:tc>
        <w:tc>
          <w:tcPr>
            <w:tcW w:w="1142" w:type="dxa"/>
            <w:tcBorders>
              <w:top w:val="nil"/>
              <w:left w:val="nil"/>
              <w:bottom w:val="single" w:sz="4" w:space="0" w:color="auto"/>
              <w:right w:val="single" w:sz="4" w:space="0" w:color="auto"/>
            </w:tcBorders>
            <w:noWrap/>
            <w:vAlign w:val="center"/>
            <w:hideMark/>
          </w:tcPr>
          <w:p w14:paraId="14B0B3A8"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10,3%</w:t>
            </w:r>
          </w:p>
        </w:tc>
        <w:tc>
          <w:tcPr>
            <w:tcW w:w="753" w:type="dxa"/>
            <w:tcBorders>
              <w:top w:val="nil"/>
              <w:left w:val="nil"/>
              <w:bottom w:val="single" w:sz="4" w:space="0" w:color="auto"/>
              <w:right w:val="single" w:sz="4" w:space="0" w:color="auto"/>
            </w:tcBorders>
            <w:noWrap/>
            <w:vAlign w:val="center"/>
            <w:hideMark/>
          </w:tcPr>
          <w:p w14:paraId="59E8DE70"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3</w:t>
            </w:r>
          </w:p>
        </w:tc>
        <w:tc>
          <w:tcPr>
            <w:tcW w:w="1072" w:type="dxa"/>
            <w:tcBorders>
              <w:top w:val="nil"/>
              <w:left w:val="nil"/>
              <w:bottom w:val="single" w:sz="4" w:space="0" w:color="auto"/>
              <w:right w:val="single" w:sz="4" w:space="0" w:color="auto"/>
            </w:tcBorders>
            <w:noWrap/>
            <w:vAlign w:val="center"/>
            <w:hideMark/>
          </w:tcPr>
          <w:p w14:paraId="55AA678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10,3%</w:t>
            </w:r>
          </w:p>
        </w:tc>
        <w:tc>
          <w:tcPr>
            <w:tcW w:w="797" w:type="dxa"/>
            <w:tcBorders>
              <w:top w:val="nil"/>
              <w:left w:val="nil"/>
              <w:bottom w:val="single" w:sz="4" w:space="0" w:color="auto"/>
              <w:right w:val="single" w:sz="4" w:space="0" w:color="auto"/>
            </w:tcBorders>
            <w:noWrap/>
            <w:vAlign w:val="center"/>
            <w:hideMark/>
          </w:tcPr>
          <w:p w14:paraId="05533F2E"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13</w:t>
            </w:r>
          </w:p>
        </w:tc>
        <w:tc>
          <w:tcPr>
            <w:tcW w:w="931" w:type="dxa"/>
            <w:tcBorders>
              <w:top w:val="nil"/>
              <w:left w:val="nil"/>
              <w:bottom w:val="single" w:sz="4" w:space="0" w:color="auto"/>
              <w:right w:val="single" w:sz="8" w:space="0" w:color="auto"/>
            </w:tcBorders>
            <w:noWrap/>
            <w:vAlign w:val="center"/>
            <w:hideMark/>
          </w:tcPr>
          <w:p w14:paraId="65AB689A"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10,2%</w:t>
            </w:r>
          </w:p>
        </w:tc>
      </w:tr>
      <w:tr w:rsidR="00F264E3" w:rsidRPr="00132B2B" w14:paraId="12333B7E" w14:textId="77777777" w:rsidTr="00132B2B">
        <w:trPr>
          <w:trHeight w:val="20"/>
          <w:jc w:val="center"/>
        </w:trPr>
        <w:tc>
          <w:tcPr>
            <w:tcW w:w="1550" w:type="dxa"/>
            <w:tcBorders>
              <w:top w:val="nil"/>
              <w:left w:val="single" w:sz="8" w:space="0" w:color="auto"/>
              <w:bottom w:val="nil"/>
              <w:right w:val="nil"/>
            </w:tcBorders>
            <w:noWrap/>
            <w:vAlign w:val="bottom"/>
            <w:hideMark/>
          </w:tcPr>
          <w:p w14:paraId="480420AD"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lang w:val="ru-RU"/>
                <w14:ligatures w14:val="standardContextual"/>
              </w:rPr>
              <w:t xml:space="preserve">75-90 </w:t>
            </w:r>
            <w:r w:rsidRPr="00132B2B">
              <w:rPr>
                <w:rFonts w:asciiTheme="majorBidi" w:eastAsia="Calibri" w:hAnsiTheme="majorBidi" w:cstheme="majorBidi"/>
                <w:kern w:val="2"/>
                <w:sz w:val="20"/>
                <w:szCs w:val="20"/>
                <w14:ligatures w14:val="standardContextual"/>
              </w:rPr>
              <w:t>years</w:t>
            </w:r>
          </w:p>
        </w:tc>
        <w:tc>
          <w:tcPr>
            <w:tcW w:w="979" w:type="dxa"/>
            <w:tcBorders>
              <w:top w:val="nil"/>
              <w:left w:val="single" w:sz="8" w:space="0" w:color="auto"/>
              <w:bottom w:val="single" w:sz="8" w:space="0" w:color="auto"/>
              <w:right w:val="single" w:sz="4" w:space="0" w:color="auto"/>
            </w:tcBorders>
            <w:noWrap/>
            <w:vAlign w:val="bottom"/>
            <w:hideMark/>
          </w:tcPr>
          <w:p w14:paraId="61667153"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Total</w:t>
            </w:r>
          </w:p>
        </w:tc>
        <w:tc>
          <w:tcPr>
            <w:tcW w:w="684" w:type="dxa"/>
            <w:tcBorders>
              <w:top w:val="nil"/>
              <w:left w:val="nil"/>
              <w:bottom w:val="single" w:sz="8" w:space="0" w:color="auto"/>
              <w:right w:val="single" w:sz="4" w:space="0" w:color="auto"/>
            </w:tcBorders>
            <w:noWrap/>
            <w:vAlign w:val="center"/>
            <w:hideMark/>
          </w:tcPr>
          <w:p w14:paraId="32166D3F"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w:t>
            </w:r>
          </w:p>
        </w:tc>
        <w:tc>
          <w:tcPr>
            <w:tcW w:w="967" w:type="dxa"/>
            <w:tcBorders>
              <w:top w:val="nil"/>
              <w:left w:val="nil"/>
              <w:bottom w:val="single" w:sz="8" w:space="0" w:color="auto"/>
              <w:right w:val="single" w:sz="4" w:space="0" w:color="auto"/>
            </w:tcBorders>
            <w:noWrap/>
            <w:vAlign w:val="center"/>
            <w:hideMark/>
          </w:tcPr>
          <w:p w14:paraId="2169D98A"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24,4%</w:t>
            </w:r>
          </w:p>
        </w:tc>
        <w:tc>
          <w:tcPr>
            <w:tcW w:w="802" w:type="dxa"/>
            <w:tcBorders>
              <w:top w:val="nil"/>
              <w:left w:val="nil"/>
              <w:bottom w:val="single" w:sz="8" w:space="0" w:color="auto"/>
              <w:right w:val="single" w:sz="4" w:space="0" w:color="auto"/>
            </w:tcBorders>
            <w:noWrap/>
            <w:vAlign w:val="center"/>
            <w:hideMark/>
          </w:tcPr>
          <w:p w14:paraId="74CB39D4"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13</w:t>
            </w:r>
          </w:p>
        </w:tc>
        <w:tc>
          <w:tcPr>
            <w:tcW w:w="1142" w:type="dxa"/>
            <w:tcBorders>
              <w:top w:val="nil"/>
              <w:left w:val="nil"/>
              <w:bottom w:val="single" w:sz="8" w:space="0" w:color="auto"/>
              <w:right w:val="single" w:sz="4" w:space="0" w:color="auto"/>
            </w:tcBorders>
            <w:noWrap/>
            <w:vAlign w:val="center"/>
            <w:hideMark/>
          </w:tcPr>
          <w:p w14:paraId="33766AC9"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22,4%</w:t>
            </w:r>
          </w:p>
        </w:tc>
        <w:tc>
          <w:tcPr>
            <w:tcW w:w="753" w:type="dxa"/>
            <w:tcBorders>
              <w:top w:val="nil"/>
              <w:left w:val="nil"/>
              <w:bottom w:val="single" w:sz="8" w:space="0" w:color="auto"/>
              <w:right w:val="single" w:sz="4" w:space="0" w:color="auto"/>
            </w:tcBorders>
            <w:noWrap/>
            <w:vAlign w:val="center"/>
            <w:hideMark/>
          </w:tcPr>
          <w:p w14:paraId="60EB62B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8</w:t>
            </w:r>
          </w:p>
        </w:tc>
        <w:tc>
          <w:tcPr>
            <w:tcW w:w="1072" w:type="dxa"/>
            <w:tcBorders>
              <w:top w:val="nil"/>
              <w:left w:val="nil"/>
              <w:bottom w:val="single" w:sz="8" w:space="0" w:color="auto"/>
              <w:right w:val="single" w:sz="4" w:space="0" w:color="auto"/>
            </w:tcBorders>
            <w:noWrap/>
            <w:vAlign w:val="center"/>
            <w:hideMark/>
          </w:tcPr>
          <w:p w14:paraId="4137853D"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27,6%</w:t>
            </w:r>
          </w:p>
        </w:tc>
        <w:tc>
          <w:tcPr>
            <w:tcW w:w="797" w:type="dxa"/>
            <w:tcBorders>
              <w:top w:val="nil"/>
              <w:left w:val="nil"/>
              <w:bottom w:val="single" w:sz="8" w:space="0" w:color="auto"/>
              <w:right w:val="single" w:sz="4" w:space="0" w:color="auto"/>
            </w:tcBorders>
            <w:noWrap/>
            <w:vAlign w:val="center"/>
            <w:hideMark/>
          </w:tcPr>
          <w:p w14:paraId="09FF3ED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31</w:t>
            </w:r>
          </w:p>
        </w:tc>
        <w:tc>
          <w:tcPr>
            <w:tcW w:w="931" w:type="dxa"/>
            <w:tcBorders>
              <w:top w:val="nil"/>
              <w:left w:val="nil"/>
              <w:bottom w:val="single" w:sz="8" w:space="0" w:color="auto"/>
              <w:right w:val="single" w:sz="8" w:space="0" w:color="auto"/>
            </w:tcBorders>
            <w:noWrap/>
            <w:vAlign w:val="center"/>
            <w:hideMark/>
          </w:tcPr>
          <w:p w14:paraId="2019A09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24,2%</w:t>
            </w:r>
          </w:p>
        </w:tc>
      </w:tr>
      <w:tr w:rsidR="00F264E3" w:rsidRPr="00132B2B" w14:paraId="2DBB6FF0" w14:textId="77777777" w:rsidTr="00132B2B">
        <w:trPr>
          <w:trHeight w:val="20"/>
          <w:jc w:val="center"/>
        </w:trPr>
        <w:tc>
          <w:tcPr>
            <w:tcW w:w="1550" w:type="dxa"/>
            <w:tcBorders>
              <w:top w:val="single" w:sz="8" w:space="0" w:color="auto"/>
              <w:left w:val="single" w:sz="8" w:space="0" w:color="auto"/>
              <w:bottom w:val="nil"/>
              <w:right w:val="nil"/>
            </w:tcBorders>
            <w:noWrap/>
            <w:vAlign w:val="bottom"/>
            <w:hideMark/>
          </w:tcPr>
          <w:p w14:paraId="527E1ACD"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979" w:type="dxa"/>
            <w:tcBorders>
              <w:top w:val="nil"/>
              <w:left w:val="single" w:sz="8" w:space="0" w:color="auto"/>
              <w:bottom w:val="single" w:sz="4" w:space="0" w:color="auto"/>
              <w:right w:val="single" w:sz="4" w:space="0" w:color="auto"/>
            </w:tcBorders>
            <w:noWrap/>
            <w:vAlign w:val="bottom"/>
            <w:hideMark/>
          </w:tcPr>
          <w:p w14:paraId="4AD715FF"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Man</w:t>
            </w:r>
          </w:p>
        </w:tc>
        <w:tc>
          <w:tcPr>
            <w:tcW w:w="684" w:type="dxa"/>
            <w:tcBorders>
              <w:top w:val="nil"/>
              <w:left w:val="nil"/>
              <w:bottom w:val="single" w:sz="4" w:space="0" w:color="auto"/>
              <w:right w:val="single" w:sz="4" w:space="0" w:color="auto"/>
            </w:tcBorders>
            <w:noWrap/>
            <w:vAlign w:val="center"/>
            <w:hideMark/>
          </w:tcPr>
          <w:p w14:paraId="3873A43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21</w:t>
            </w:r>
          </w:p>
        </w:tc>
        <w:tc>
          <w:tcPr>
            <w:tcW w:w="967" w:type="dxa"/>
            <w:tcBorders>
              <w:top w:val="nil"/>
              <w:left w:val="nil"/>
              <w:bottom w:val="single" w:sz="4" w:space="0" w:color="auto"/>
              <w:right w:val="single" w:sz="4" w:space="0" w:color="auto"/>
            </w:tcBorders>
            <w:noWrap/>
            <w:vAlign w:val="center"/>
            <w:hideMark/>
          </w:tcPr>
          <w:p w14:paraId="476F9DE2"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51,2%</w:t>
            </w:r>
          </w:p>
        </w:tc>
        <w:tc>
          <w:tcPr>
            <w:tcW w:w="802" w:type="dxa"/>
            <w:tcBorders>
              <w:top w:val="nil"/>
              <w:left w:val="nil"/>
              <w:bottom w:val="single" w:sz="4" w:space="0" w:color="auto"/>
              <w:right w:val="single" w:sz="4" w:space="0" w:color="auto"/>
            </w:tcBorders>
            <w:noWrap/>
            <w:vAlign w:val="center"/>
            <w:hideMark/>
          </w:tcPr>
          <w:p w14:paraId="2008C105"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29</w:t>
            </w:r>
          </w:p>
        </w:tc>
        <w:tc>
          <w:tcPr>
            <w:tcW w:w="1142" w:type="dxa"/>
            <w:tcBorders>
              <w:top w:val="nil"/>
              <w:left w:val="nil"/>
              <w:bottom w:val="single" w:sz="4" w:space="0" w:color="auto"/>
              <w:right w:val="single" w:sz="4" w:space="0" w:color="auto"/>
            </w:tcBorders>
            <w:noWrap/>
            <w:vAlign w:val="center"/>
            <w:hideMark/>
          </w:tcPr>
          <w:p w14:paraId="0AE18F19"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50,0%</w:t>
            </w:r>
          </w:p>
        </w:tc>
        <w:tc>
          <w:tcPr>
            <w:tcW w:w="753" w:type="dxa"/>
            <w:tcBorders>
              <w:top w:val="nil"/>
              <w:left w:val="nil"/>
              <w:bottom w:val="single" w:sz="4" w:space="0" w:color="auto"/>
              <w:right w:val="single" w:sz="4" w:space="0" w:color="auto"/>
            </w:tcBorders>
            <w:noWrap/>
            <w:vAlign w:val="center"/>
            <w:hideMark/>
          </w:tcPr>
          <w:p w14:paraId="0A3B60FE"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16</w:t>
            </w:r>
          </w:p>
        </w:tc>
        <w:tc>
          <w:tcPr>
            <w:tcW w:w="1072" w:type="dxa"/>
            <w:tcBorders>
              <w:top w:val="nil"/>
              <w:left w:val="nil"/>
              <w:bottom w:val="single" w:sz="4" w:space="0" w:color="auto"/>
              <w:right w:val="single" w:sz="4" w:space="0" w:color="auto"/>
            </w:tcBorders>
            <w:noWrap/>
            <w:vAlign w:val="center"/>
            <w:hideMark/>
          </w:tcPr>
          <w:p w14:paraId="23049883"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55,2%</w:t>
            </w:r>
          </w:p>
        </w:tc>
        <w:tc>
          <w:tcPr>
            <w:tcW w:w="797" w:type="dxa"/>
            <w:tcBorders>
              <w:top w:val="nil"/>
              <w:left w:val="nil"/>
              <w:bottom w:val="single" w:sz="4" w:space="0" w:color="auto"/>
              <w:right w:val="single" w:sz="4" w:space="0" w:color="auto"/>
            </w:tcBorders>
            <w:noWrap/>
            <w:vAlign w:val="center"/>
            <w:hideMark/>
          </w:tcPr>
          <w:p w14:paraId="025BA1D3"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66</w:t>
            </w:r>
          </w:p>
        </w:tc>
        <w:tc>
          <w:tcPr>
            <w:tcW w:w="931" w:type="dxa"/>
            <w:tcBorders>
              <w:top w:val="nil"/>
              <w:left w:val="nil"/>
              <w:bottom w:val="single" w:sz="4" w:space="0" w:color="auto"/>
              <w:right w:val="single" w:sz="8" w:space="0" w:color="auto"/>
            </w:tcBorders>
            <w:noWrap/>
            <w:vAlign w:val="center"/>
            <w:hideMark/>
          </w:tcPr>
          <w:p w14:paraId="105BD307"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51,6%</w:t>
            </w:r>
          </w:p>
        </w:tc>
      </w:tr>
      <w:tr w:rsidR="00F264E3" w:rsidRPr="00132B2B" w14:paraId="216AB032" w14:textId="77777777" w:rsidTr="00132B2B">
        <w:trPr>
          <w:trHeight w:val="20"/>
          <w:jc w:val="center"/>
        </w:trPr>
        <w:tc>
          <w:tcPr>
            <w:tcW w:w="1550" w:type="dxa"/>
            <w:tcBorders>
              <w:top w:val="nil"/>
              <w:left w:val="single" w:sz="8" w:space="0" w:color="auto"/>
              <w:bottom w:val="nil"/>
              <w:right w:val="nil"/>
            </w:tcBorders>
            <w:noWrap/>
            <w:vAlign w:val="bottom"/>
            <w:hideMark/>
          </w:tcPr>
          <w:p w14:paraId="0AC2241B"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Total</w:t>
            </w:r>
          </w:p>
        </w:tc>
        <w:tc>
          <w:tcPr>
            <w:tcW w:w="979" w:type="dxa"/>
            <w:tcBorders>
              <w:top w:val="nil"/>
              <w:left w:val="single" w:sz="8" w:space="0" w:color="auto"/>
              <w:bottom w:val="nil"/>
              <w:right w:val="single" w:sz="4" w:space="0" w:color="auto"/>
            </w:tcBorders>
            <w:noWrap/>
            <w:vAlign w:val="bottom"/>
            <w:hideMark/>
          </w:tcPr>
          <w:p w14:paraId="54EFD216"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Woman</w:t>
            </w:r>
          </w:p>
        </w:tc>
        <w:tc>
          <w:tcPr>
            <w:tcW w:w="684" w:type="dxa"/>
            <w:tcBorders>
              <w:top w:val="nil"/>
              <w:left w:val="nil"/>
              <w:bottom w:val="single" w:sz="4" w:space="0" w:color="auto"/>
              <w:right w:val="single" w:sz="4" w:space="0" w:color="auto"/>
            </w:tcBorders>
            <w:noWrap/>
            <w:vAlign w:val="center"/>
            <w:hideMark/>
          </w:tcPr>
          <w:p w14:paraId="0F5B6B44"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20</w:t>
            </w:r>
          </w:p>
        </w:tc>
        <w:tc>
          <w:tcPr>
            <w:tcW w:w="967" w:type="dxa"/>
            <w:tcBorders>
              <w:top w:val="nil"/>
              <w:left w:val="nil"/>
              <w:bottom w:val="single" w:sz="4" w:space="0" w:color="auto"/>
              <w:right w:val="single" w:sz="4" w:space="0" w:color="auto"/>
            </w:tcBorders>
            <w:noWrap/>
            <w:vAlign w:val="center"/>
            <w:hideMark/>
          </w:tcPr>
          <w:p w14:paraId="412EB7F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48,8%</w:t>
            </w:r>
          </w:p>
        </w:tc>
        <w:tc>
          <w:tcPr>
            <w:tcW w:w="802" w:type="dxa"/>
            <w:tcBorders>
              <w:top w:val="nil"/>
              <w:left w:val="nil"/>
              <w:bottom w:val="single" w:sz="4" w:space="0" w:color="auto"/>
              <w:right w:val="single" w:sz="4" w:space="0" w:color="auto"/>
            </w:tcBorders>
            <w:noWrap/>
            <w:vAlign w:val="center"/>
            <w:hideMark/>
          </w:tcPr>
          <w:p w14:paraId="385360C8"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29</w:t>
            </w:r>
          </w:p>
        </w:tc>
        <w:tc>
          <w:tcPr>
            <w:tcW w:w="1142" w:type="dxa"/>
            <w:tcBorders>
              <w:top w:val="nil"/>
              <w:left w:val="nil"/>
              <w:bottom w:val="single" w:sz="4" w:space="0" w:color="auto"/>
              <w:right w:val="single" w:sz="4" w:space="0" w:color="auto"/>
            </w:tcBorders>
            <w:noWrap/>
            <w:vAlign w:val="center"/>
            <w:hideMark/>
          </w:tcPr>
          <w:p w14:paraId="71B4B664"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50,0%</w:t>
            </w:r>
          </w:p>
        </w:tc>
        <w:tc>
          <w:tcPr>
            <w:tcW w:w="753" w:type="dxa"/>
            <w:tcBorders>
              <w:top w:val="nil"/>
              <w:left w:val="nil"/>
              <w:bottom w:val="single" w:sz="4" w:space="0" w:color="auto"/>
              <w:right w:val="single" w:sz="4" w:space="0" w:color="auto"/>
            </w:tcBorders>
            <w:noWrap/>
            <w:vAlign w:val="center"/>
            <w:hideMark/>
          </w:tcPr>
          <w:p w14:paraId="3CC5FD16"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13</w:t>
            </w:r>
          </w:p>
        </w:tc>
        <w:tc>
          <w:tcPr>
            <w:tcW w:w="1072" w:type="dxa"/>
            <w:tcBorders>
              <w:top w:val="nil"/>
              <w:left w:val="nil"/>
              <w:bottom w:val="single" w:sz="4" w:space="0" w:color="auto"/>
              <w:right w:val="single" w:sz="4" w:space="0" w:color="auto"/>
            </w:tcBorders>
            <w:noWrap/>
            <w:vAlign w:val="center"/>
            <w:hideMark/>
          </w:tcPr>
          <w:p w14:paraId="128AF80E"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44,8%</w:t>
            </w:r>
          </w:p>
        </w:tc>
        <w:tc>
          <w:tcPr>
            <w:tcW w:w="797" w:type="dxa"/>
            <w:tcBorders>
              <w:top w:val="nil"/>
              <w:left w:val="nil"/>
              <w:bottom w:val="single" w:sz="4" w:space="0" w:color="auto"/>
              <w:right w:val="single" w:sz="4" w:space="0" w:color="auto"/>
            </w:tcBorders>
            <w:noWrap/>
            <w:vAlign w:val="center"/>
            <w:hideMark/>
          </w:tcPr>
          <w:p w14:paraId="785AFA5D"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62</w:t>
            </w:r>
          </w:p>
        </w:tc>
        <w:tc>
          <w:tcPr>
            <w:tcW w:w="931" w:type="dxa"/>
            <w:tcBorders>
              <w:top w:val="nil"/>
              <w:left w:val="nil"/>
              <w:bottom w:val="single" w:sz="4" w:space="0" w:color="auto"/>
              <w:right w:val="single" w:sz="8" w:space="0" w:color="auto"/>
            </w:tcBorders>
            <w:noWrap/>
            <w:vAlign w:val="center"/>
            <w:hideMark/>
          </w:tcPr>
          <w:p w14:paraId="5543B459"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48,4%</w:t>
            </w:r>
          </w:p>
        </w:tc>
      </w:tr>
      <w:tr w:rsidR="00F264E3" w:rsidRPr="00132B2B" w14:paraId="4DE90E71" w14:textId="77777777" w:rsidTr="00132B2B">
        <w:trPr>
          <w:trHeight w:val="20"/>
          <w:jc w:val="center"/>
        </w:trPr>
        <w:tc>
          <w:tcPr>
            <w:tcW w:w="1550" w:type="dxa"/>
            <w:tcBorders>
              <w:top w:val="nil"/>
              <w:left w:val="single" w:sz="8" w:space="0" w:color="auto"/>
              <w:bottom w:val="single" w:sz="8" w:space="0" w:color="auto"/>
              <w:right w:val="nil"/>
            </w:tcBorders>
            <w:noWrap/>
            <w:vAlign w:val="bottom"/>
            <w:hideMark/>
          </w:tcPr>
          <w:p w14:paraId="14F63D4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 </w:t>
            </w:r>
          </w:p>
        </w:tc>
        <w:tc>
          <w:tcPr>
            <w:tcW w:w="979" w:type="dxa"/>
            <w:tcBorders>
              <w:top w:val="single" w:sz="4" w:space="0" w:color="auto"/>
              <w:left w:val="single" w:sz="8" w:space="0" w:color="auto"/>
              <w:bottom w:val="single" w:sz="8" w:space="0" w:color="auto"/>
              <w:right w:val="single" w:sz="4" w:space="0" w:color="auto"/>
            </w:tcBorders>
            <w:noWrap/>
            <w:vAlign w:val="bottom"/>
            <w:hideMark/>
          </w:tcPr>
          <w:p w14:paraId="459A1287" w14:textId="77777777" w:rsidR="00F264E3" w:rsidRPr="00132B2B" w:rsidRDefault="00F264E3" w:rsidP="00132B2B">
            <w:pPr>
              <w:widowControl/>
              <w:autoSpaceDE/>
              <w:autoSpaceDN/>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Total</w:t>
            </w:r>
          </w:p>
        </w:tc>
        <w:tc>
          <w:tcPr>
            <w:tcW w:w="684" w:type="dxa"/>
            <w:tcBorders>
              <w:top w:val="nil"/>
              <w:left w:val="nil"/>
              <w:bottom w:val="single" w:sz="8" w:space="0" w:color="auto"/>
              <w:right w:val="single" w:sz="4" w:space="0" w:color="auto"/>
            </w:tcBorders>
            <w:noWrap/>
            <w:vAlign w:val="center"/>
            <w:hideMark/>
          </w:tcPr>
          <w:p w14:paraId="42C5AC4B"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41</w:t>
            </w:r>
          </w:p>
        </w:tc>
        <w:tc>
          <w:tcPr>
            <w:tcW w:w="967" w:type="dxa"/>
            <w:tcBorders>
              <w:top w:val="nil"/>
              <w:left w:val="nil"/>
              <w:bottom w:val="single" w:sz="8" w:space="0" w:color="auto"/>
              <w:right w:val="single" w:sz="4" w:space="0" w:color="auto"/>
            </w:tcBorders>
            <w:noWrap/>
            <w:vAlign w:val="center"/>
            <w:hideMark/>
          </w:tcPr>
          <w:p w14:paraId="346F9EA0"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100,0%</w:t>
            </w:r>
          </w:p>
        </w:tc>
        <w:tc>
          <w:tcPr>
            <w:tcW w:w="802" w:type="dxa"/>
            <w:tcBorders>
              <w:top w:val="nil"/>
              <w:left w:val="nil"/>
              <w:bottom w:val="single" w:sz="8" w:space="0" w:color="auto"/>
              <w:right w:val="single" w:sz="4" w:space="0" w:color="auto"/>
            </w:tcBorders>
            <w:noWrap/>
            <w:vAlign w:val="center"/>
            <w:hideMark/>
          </w:tcPr>
          <w:p w14:paraId="392530C0"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58</w:t>
            </w:r>
          </w:p>
        </w:tc>
        <w:tc>
          <w:tcPr>
            <w:tcW w:w="1142" w:type="dxa"/>
            <w:tcBorders>
              <w:top w:val="nil"/>
              <w:left w:val="nil"/>
              <w:bottom w:val="single" w:sz="8" w:space="0" w:color="auto"/>
              <w:right w:val="single" w:sz="4" w:space="0" w:color="auto"/>
            </w:tcBorders>
            <w:noWrap/>
            <w:vAlign w:val="center"/>
            <w:hideMark/>
          </w:tcPr>
          <w:p w14:paraId="62CBFA4F"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100,0%</w:t>
            </w:r>
          </w:p>
        </w:tc>
        <w:tc>
          <w:tcPr>
            <w:tcW w:w="753" w:type="dxa"/>
            <w:tcBorders>
              <w:top w:val="nil"/>
              <w:left w:val="nil"/>
              <w:bottom w:val="single" w:sz="8" w:space="0" w:color="auto"/>
              <w:right w:val="single" w:sz="4" w:space="0" w:color="auto"/>
            </w:tcBorders>
            <w:noWrap/>
            <w:vAlign w:val="center"/>
            <w:hideMark/>
          </w:tcPr>
          <w:p w14:paraId="464E8A41"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29</w:t>
            </w:r>
          </w:p>
        </w:tc>
        <w:tc>
          <w:tcPr>
            <w:tcW w:w="1072" w:type="dxa"/>
            <w:tcBorders>
              <w:top w:val="nil"/>
              <w:left w:val="nil"/>
              <w:bottom w:val="single" w:sz="8" w:space="0" w:color="auto"/>
              <w:right w:val="single" w:sz="4" w:space="0" w:color="auto"/>
            </w:tcBorders>
            <w:noWrap/>
            <w:vAlign w:val="center"/>
            <w:hideMark/>
          </w:tcPr>
          <w:p w14:paraId="4E1ACC7C"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100,0%</w:t>
            </w:r>
          </w:p>
        </w:tc>
        <w:tc>
          <w:tcPr>
            <w:tcW w:w="797" w:type="dxa"/>
            <w:tcBorders>
              <w:top w:val="nil"/>
              <w:left w:val="nil"/>
              <w:bottom w:val="single" w:sz="8" w:space="0" w:color="auto"/>
              <w:right w:val="single" w:sz="4" w:space="0" w:color="auto"/>
            </w:tcBorders>
            <w:noWrap/>
            <w:vAlign w:val="center"/>
            <w:hideMark/>
          </w:tcPr>
          <w:p w14:paraId="752387F6"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128</w:t>
            </w:r>
          </w:p>
        </w:tc>
        <w:tc>
          <w:tcPr>
            <w:tcW w:w="931" w:type="dxa"/>
            <w:tcBorders>
              <w:top w:val="nil"/>
              <w:left w:val="nil"/>
              <w:bottom w:val="single" w:sz="8" w:space="0" w:color="auto"/>
              <w:right w:val="single" w:sz="8" w:space="0" w:color="auto"/>
            </w:tcBorders>
            <w:noWrap/>
            <w:vAlign w:val="center"/>
            <w:hideMark/>
          </w:tcPr>
          <w:p w14:paraId="6F23DD2E" w14:textId="77777777" w:rsidR="00F264E3" w:rsidRPr="00132B2B"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132B2B">
              <w:rPr>
                <w:rFonts w:asciiTheme="majorBidi" w:eastAsia="Calibri" w:hAnsiTheme="majorBidi" w:cstheme="majorBidi"/>
                <w:kern w:val="2"/>
                <w:sz w:val="20"/>
                <w:szCs w:val="20"/>
                <w:lang w:val="ru-RU"/>
                <w14:ligatures w14:val="standardContextual"/>
              </w:rPr>
              <w:t>100,0%</w:t>
            </w:r>
          </w:p>
        </w:tc>
      </w:tr>
    </w:tbl>
    <w:p w14:paraId="704CD418" w14:textId="77777777" w:rsidR="00F264E3" w:rsidRPr="00F264E3" w:rsidRDefault="00F264E3" w:rsidP="00F264E3">
      <w:pPr>
        <w:widowControl/>
        <w:autoSpaceDE/>
        <w:autoSpaceDN/>
        <w:spacing w:before="240"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In groups I and II, men and women are distributed almost equally (51.2% men versus 48.8% women in group I; 50% and 50% in group II). In group III, a slight predominance of men is observed (55.2%), which confirms the tendency towards more pronounced and widespread atherosclerosis in the male population. In all age categories, men make up about 51.6% of the entire sample, women - 48.4%, which is consistent with the general epidemiological trend [Markus et al., 2010; Howard et al., 2015]. The age of 60–74 years is the leading one in frequency among all patients, which is associated with the cumulative impact of risk factors and age-related changes in the vascular wall.</w:t>
      </w:r>
    </w:p>
    <w:p w14:paraId="4E719F51"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The gender distribution is relatively balanced, however, in Group III (combined ICA and VA stenosis), a slight male predominance was noted, which may indicate a higher susceptibility to multifocal atherosclerosis. Middle-aged and elderly patients require special attention in terms of prevention and follow-up, as the risk of stroke and cognitive impairment is highest in these age groups.</w:t>
      </w:r>
    </w:p>
    <w:p w14:paraId="77F9D757"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Duplex ultrasound (USD) of extracranial arteries was performed in all patients using expert-class equipment (Philips Epiq, GE LOGIQ) with a 5–12 MHz linear transducer.</w:t>
      </w:r>
    </w:p>
    <w:p w14:paraId="46C71A8B"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Magnetic resonance angiography (MRA) was used to evaluate the neck vessels in patients (taking into account allergies to iodinated contrast). A Time-of-Flight (TOF) protocol and contrast-enhanced angiography (CE-MRA) were used. Black-blood MRI was performed in 75 patients to characterize plaques in detail (lipid core, hemorrhages, fibrous cap). MRA was also used to evaluate intracranial segments of the carotid and vertebral arteries.</w:t>
      </w:r>
    </w:p>
    <w:p w14:paraId="5F521CBD"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Perfusion methods (CTP, MR PWI, ASL) - Perfusion studies were used to assess the hemodynamic significance of stenosis and cerebral blood flow in patients with bilateral or combined stenosis. Parameters: CBF (cerebral blood flow), CBV (cerebral blood volume), MTT (mean transit time), </w:t>
      </w:r>
      <w:proofErr w:type="spellStart"/>
      <w:r w:rsidRPr="00F264E3">
        <w:rPr>
          <w:rFonts w:asciiTheme="majorBidi" w:eastAsia="Calibri" w:hAnsiTheme="majorBidi" w:cstheme="majorBidi"/>
          <w:kern w:val="2"/>
          <w:sz w:val="20"/>
          <w:szCs w:val="20"/>
          <w14:ligatures w14:val="standardContextual"/>
        </w:rPr>
        <w:t>Tmax</w:t>
      </w:r>
      <w:proofErr w:type="spellEnd"/>
      <w:r w:rsidRPr="00F264E3">
        <w:rPr>
          <w:rFonts w:asciiTheme="majorBidi" w:eastAsia="Calibri" w:hAnsiTheme="majorBidi" w:cstheme="majorBidi"/>
          <w:kern w:val="2"/>
          <w:sz w:val="20"/>
          <w:szCs w:val="20"/>
          <w14:ligatures w14:val="standardContextual"/>
        </w:rPr>
        <w:t xml:space="preserve"> (time-to-maximum).</w:t>
      </w:r>
    </w:p>
    <w:p w14:paraId="6C255B1F"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Transcranial Doppler (TCD) with vasoactive testing - Cerebrovascular reserve (CVR) was assessed in 210 patients (prospective group). Method: TCD of the middle cerebral artery (MCA) with a hypercapnic test (inhalation of 5% CO₂ for 2 minutes) or an acetazolamide test (10-15 mg/kg). Interpretation: An increase in linear blood flow velocity of &lt;30% was considered to be reduced CVR and indicated a high risk of stroke and cognitive decline.</w:t>
      </w:r>
    </w:p>
    <w:p w14:paraId="702593A5"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Statistical data processing was performed using IBM SPSS Statistics 25.0, </w:t>
      </w:r>
      <w:proofErr w:type="spellStart"/>
      <w:r w:rsidRPr="00F264E3">
        <w:rPr>
          <w:rFonts w:asciiTheme="majorBidi" w:eastAsia="Calibri" w:hAnsiTheme="majorBidi" w:cstheme="majorBidi"/>
          <w:kern w:val="2"/>
          <w:sz w:val="20"/>
          <w:szCs w:val="20"/>
          <w14:ligatures w14:val="standardContextual"/>
        </w:rPr>
        <w:t>MedCalc</w:t>
      </w:r>
      <w:proofErr w:type="spellEnd"/>
      <w:r w:rsidRPr="00F264E3">
        <w:rPr>
          <w:rFonts w:asciiTheme="majorBidi" w:eastAsia="Calibri" w:hAnsiTheme="majorBidi" w:cstheme="majorBidi"/>
          <w:kern w:val="2"/>
          <w:sz w:val="20"/>
          <w:szCs w:val="20"/>
          <w14:ligatures w14:val="standardContextual"/>
        </w:rPr>
        <w:t xml:space="preserve"> 20.0, and R (v.4.2.2).</w:t>
      </w:r>
    </w:p>
    <w:p w14:paraId="6C9E039F"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Study results. Cerebrovascular reserve (CVR) and perfusion parameters such as CBF (cerebral blood flow), CBV (blood volume), MTT (mean transit time), and </w:t>
      </w:r>
      <w:proofErr w:type="spellStart"/>
      <w:r w:rsidRPr="00F264E3">
        <w:rPr>
          <w:rFonts w:asciiTheme="majorBidi" w:eastAsia="Calibri" w:hAnsiTheme="majorBidi" w:cstheme="majorBidi"/>
          <w:kern w:val="2"/>
          <w:sz w:val="20"/>
          <w:szCs w:val="20"/>
          <w14:ligatures w14:val="standardContextual"/>
        </w:rPr>
        <w:t>Tmax</w:t>
      </w:r>
      <w:proofErr w:type="spellEnd"/>
      <w:r w:rsidRPr="00F264E3">
        <w:rPr>
          <w:rFonts w:asciiTheme="majorBidi" w:eastAsia="Calibri" w:hAnsiTheme="majorBidi" w:cstheme="majorBidi"/>
          <w:kern w:val="2"/>
          <w:sz w:val="20"/>
          <w:szCs w:val="20"/>
          <w14:ligatures w14:val="standardContextual"/>
        </w:rPr>
        <w:t xml:space="preserve"> (time to peak) are key quantitative markers of the functional state of cerebral circulation. These parameters allow us to assess both the presence and degree of impaired cerebral blood flow autoregulation, as well as the degree of hypoperfusion in patients with various types of extracranial artery stenosis.</w:t>
      </w:r>
    </w:p>
    <w:p w14:paraId="04FDCD26"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Cerebrovascular reserve (CVR). Average CVR values ranged from 32.4 ± 5.6% in Group I to 27.1 ± 6.3% in Group III. The decrease in reserve was statistically significant in both Group II (p = 0.017) and especially in Group III (p = 0.006) compared to Group I, indicating a significant deterioration in vasomotor reactivity in patients with bilateral and, especially, combined ICA and VA stenosis.</w:t>
      </w:r>
    </w:p>
    <w:p w14:paraId="17B3CAF4"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CBF (cerebral blood flow). CBF consistently decreased from 52.8 ± 6.9 ml/100 g/min in Group I to 47.6 ± 7.5 ml/100 g/min in Group III, which was also significant (p = 0.022 and p = 0.011, respectively). This indicates a decrease in oxygen and nutrient delivery to brain tissue as stenosis progresses.</w:t>
      </w:r>
    </w:p>
    <w:p w14:paraId="60C08C22" w14:textId="77777777" w:rsid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CBV (cerebral blood volume). The CBV index decreased from 4.3 ± 0.7 ml/100 g in Group I to 3.8 ± 0.7 ml/100 g in Group III. This decrease was statistically significant in both Group II (p = 0.036) and Group III (p = 0.019), which may indicate a disruption of compensatory mechanisms and the development of ischemia.</w:t>
      </w:r>
    </w:p>
    <w:p w14:paraId="157A3F62" w14:textId="77777777" w:rsidR="00E60603" w:rsidRDefault="00E60603" w:rsidP="00F264E3">
      <w:pPr>
        <w:widowControl/>
        <w:autoSpaceDE/>
        <w:autoSpaceDN/>
        <w:spacing w:after="160"/>
        <w:jc w:val="both"/>
        <w:rPr>
          <w:rFonts w:asciiTheme="majorBidi" w:eastAsia="Calibri" w:hAnsiTheme="majorBidi" w:cstheme="majorBidi"/>
          <w:kern w:val="2"/>
          <w:sz w:val="20"/>
          <w:szCs w:val="20"/>
          <w14:ligatures w14:val="standardContextual"/>
        </w:rPr>
      </w:pPr>
    </w:p>
    <w:p w14:paraId="12FB53E3" w14:textId="35ED0409" w:rsidR="00F264E3" w:rsidRPr="00F264E3" w:rsidRDefault="00F264E3" w:rsidP="00E60603">
      <w:pPr>
        <w:widowControl/>
        <w:autoSpaceDE/>
        <w:autoSpaceDN/>
        <w:jc w:val="center"/>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b/>
          <w:bCs/>
          <w:kern w:val="2"/>
          <w:sz w:val="20"/>
          <w:szCs w:val="20"/>
          <w14:ligatures w14:val="standardContextual"/>
        </w:rPr>
        <w:t xml:space="preserve">Table 2. Cerebrovascular reserve (CVR) and perfusion parameters (CBF, CBV, MTT, </w:t>
      </w:r>
      <w:proofErr w:type="spellStart"/>
      <w:r w:rsidRPr="00F264E3">
        <w:rPr>
          <w:rFonts w:asciiTheme="majorBidi" w:eastAsia="Calibri" w:hAnsiTheme="majorBidi" w:cstheme="majorBidi"/>
          <w:b/>
          <w:bCs/>
          <w:kern w:val="2"/>
          <w:sz w:val="20"/>
          <w:szCs w:val="20"/>
          <w14:ligatures w14:val="standardContextual"/>
        </w:rPr>
        <w:t>Tmax</w:t>
      </w:r>
      <w:proofErr w:type="spellEnd"/>
      <w:r w:rsidRPr="00F264E3">
        <w:rPr>
          <w:rFonts w:asciiTheme="majorBidi" w:eastAsia="Calibri" w:hAnsiTheme="majorBidi" w:cstheme="majorBidi"/>
          <w:b/>
          <w:bCs/>
          <w:kern w:val="2"/>
          <w:sz w:val="20"/>
          <w:szCs w:val="20"/>
          <w14:ligatures w14:val="standardContextual"/>
        </w:rPr>
        <w:t>) in patients, (</w:t>
      </w:r>
      <w:proofErr w:type="spellStart"/>
      <w:r w:rsidRPr="00F264E3">
        <w:rPr>
          <w:rFonts w:asciiTheme="majorBidi" w:eastAsia="Calibri" w:hAnsiTheme="majorBidi" w:cstheme="majorBidi"/>
          <w:b/>
          <w:bCs/>
          <w:kern w:val="2"/>
          <w:sz w:val="20"/>
          <w:szCs w:val="20"/>
          <w14:ligatures w14:val="standardContextual"/>
        </w:rPr>
        <w:t>M±σ</w:t>
      </w:r>
      <w:proofErr w:type="spellEnd"/>
      <w:r w:rsidRPr="00F264E3">
        <w:rPr>
          <w:rFonts w:asciiTheme="majorBidi" w:eastAsia="Calibri" w:hAnsiTheme="majorBidi" w:cstheme="majorBidi"/>
          <w:b/>
          <w:bCs/>
          <w:kern w:val="2"/>
          <w:sz w:val="20"/>
          <w:szCs w:val="20"/>
          <w14:ligatures w14:val="standardContextual"/>
        </w:rPr>
        <w:t>) [95% CI]</w:t>
      </w:r>
    </w:p>
    <w:tbl>
      <w:tblPr>
        <w:tblW w:w="8660" w:type="dxa"/>
        <w:tblLook w:val="04A0" w:firstRow="1" w:lastRow="0" w:firstColumn="1" w:lastColumn="0" w:noHBand="0" w:noVBand="1"/>
      </w:tblPr>
      <w:tblGrid>
        <w:gridCol w:w="1920"/>
        <w:gridCol w:w="1480"/>
        <w:gridCol w:w="1500"/>
        <w:gridCol w:w="1460"/>
        <w:gridCol w:w="520"/>
        <w:gridCol w:w="880"/>
        <w:gridCol w:w="900"/>
      </w:tblGrid>
      <w:tr w:rsidR="00F264E3" w:rsidRPr="00F264E3" w14:paraId="427418A5" w14:textId="77777777" w:rsidTr="00132B2B">
        <w:trPr>
          <w:trHeight w:val="20"/>
        </w:trPr>
        <w:tc>
          <w:tcPr>
            <w:tcW w:w="1920" w:type="dxa"/>
            <w:tcBorders>
              <w:top w:val="single" w:sz="8" w:space="0" w:color="auto"/>
              <w:left w:val="single" w:sz="8" w:space="0" w:color="auto"/>
              <w:bottom w:val="single" w:sz="8" w:space="0" w:color="auto"/>
              <w:right w:val="single" w:sz="8" w:space="0" w:color="auto"/>
            </w:tcBorders>
            <w:vAlign w:val="center"/>
            <w:hideMark/>
          </w:tcPr>
          <w:p w14:paraId="4ECDF7D1" w14:textId="77777777" w:rsidR="00F264E3" w:rsidRPr="00F264E3" w:rsidRDefault="00F264E3" w:rsidP="00132B2B">
            <w:pPr>
              <w:widowControl/>
              <w:autoSpaceDE/>
              <w:autoSpaceDN/>
              <w:jc w:val="both"/>
              <w:rPr>
                <w:rFonts w:asciiTheme="majorBidi" w:eastAsia="Calibri" w:hAnsiTheme="majorBidi" w:cstheme="majorBidi"/>
                <w:b/>
                <w:bCs/>
                <w:kern w:val="2"/>
                <w:sz w:val="20"/>
                <w:szCs w:val="20"/>
                <w14:ligatures w14:val="standardContextual"/>
              </w:rPr>
            </w:pPr>
            <w:r w:rsidRPr="00F264E3">
              <w:rPr>
                <w:rFonts w:asciiTheme="majorBidi" w:eastAsia="Calibri" w:hAnsiTheme="majorBidi" w:cstheme="majorBidi"/>
                <w:b/>
                <w:bCs/>
                <w:kern w:val="2"/>
                <w:sz w:val="20"/>
                <w:szCs w:val="20"/>
                <w14:ligatures w14:val="standardContextual"/>
              </w:rPr>
              <w:t>Group</w:t>
            </w:r>
          </w:p>
        </w:tc>
        <w:tc>
          <w:tcPr>
            <w:tcW w:w="1480" w:type="dxa"/>
            <w:tcBorders>
              <w:top w:val="single" w:sz="8" w:space="0" w:color="auto"/>
              <w:left w:val="nil"/>
              <w:bottom w:val="single" w:sz="8" w:space="0" w:color="auto"/>
              <w:right w:val="single" w:sz="4" w:space="0" w:color="auto"/>
            </w:tcBorders>
            <w:vAlign w:val="center"/>
            <w:hideMark/>
          </w:tcPr>
          <w:p w14:paraId="4EA8EA49" w14:textId="77777777" w:rsidR="00F264E3" w:rsidRPr="00F264E3" w:rsidRDefault="00F264E3" w:rsidP="00132B2B">
            <w:pPr>
              <w:widowControl/>
              <w:autoSpaceDE/>
              <w:autoSpaceDN/>
              <w:jc w:val="both"/>
              <w:rPr>
                <w:rFonts w:asciiTheme="majorBidi" w:eastAsia="Calibri" w:hAnsiTheme="majorBidi" w:cstheme="majorBidi"/>
                <w:b/>
                <w:bCs/>
                <w:kern w:val="2"/>
                <w:sz w:val="20"/>
                <w:szCs w:val="20"/>
                <w14:ligatures w14:val="standardContextual"/>
              </w:rPr>
            </w:pPr>
            <w:r w:rsidRPr="00F264E3">
              <w:rPr>
                <w:rFonts w:asciiTheme="majorBidi" w:eastAsia="Calibri" w:hAnsiTheme="majorBidi" w:cstheme="majorBidi"/>
                <w:b/>
                <w:bCs/>
                <w:kern w:val="2"/>
                <w:sz w:val="20"/>
                <w:szCs w:val="20"/>
                <w14:ligatures w14:val="standardContextual"/>
              </w:rPr>
              <w:t>Group 1</w:t>
            </w:r>
          </w:p>
        </w:tc>
        <w:tc>
          <w:tcPr>
            <w:tcW w:w="1500" w:type="dxa"/>
            <w:tcBorders>
              <w:top w:val="single" w:sz="8" w:space="0" w:color="auto"/>
              <w:left w:val="single" w:sz="4" w:space="0" w:color="auto"/>
              <w:bottom w:val="single" w:sz="8" w:space="0" w:color="auto"/>
              <w:right w:val="single" w:sz="4" w:space="0" w:color="auto"/>
            </w:tcBorders>
            <w:vAlign w:val="center"/>
            <w:hideMark/>
          </w:tcPr>
          <w:p w14:paraId="4130D8CC" w14:textId="77777777" w:rsidR="00F264E3" w:rsidRPr="00F264E3" w:rsidRDefault="00F264E3" w:rsidP="00132B2B">
            <w:pPr>
              <w:widowControl/>
              <w:autoSpaceDE/>
              <w:autoSpaceDN/>
              <w:jc w:val="both"/>
              <w:rPr>
                <w:rFonts w:asciiTheme="majorBidi" w:eastAsia="Calibri" w:hAnsiTheme="majorBidi" w:cstheme="majorBidi"/>
                <w:b/>
                <w:bCs/>
                <w:kern w:val="2"/>
                <w:sz w:val="20"/>
                <w:szCs w:val="20"/>
                <w14:ligatures w14:val="standardContextual"/>
              </w:rPr>
            </w:pPr>
            <w:r w:rsidRPr="00F264E3">
              <w:rPr>
                <w:rFonts w:asciiTheme="majorBidi" w:eastAsia="Calibri" w:hAnsiTheme="majorBidi" w:cstheme="majorBidi"/>
                <w:b/>
                <w:bCs/>
                <w:kern w:val="2"/>
                <w:sz w:val="20"/>
                <w:szCs w:val="20"/>
                <w14:ligatures w14:val="standardContextual"/>
              </w:rPr>
              <w:t>Group 2</w:t>
            </w:r>
          </w:p>
        </w:tc>
        <w:tc>
          <w:tcPr>
            <w:tcW w:w="1460" w:type="dxa"/>
            <w:tcBorders>
              <w:top w:val="single" w:sz="8" w:space="0" w:color="auto"/>
              <w:left w:val="nil"/>
              <w:bottom w:val="single" w:sz="8" w:space="0" w:color="auto"/>
              <w:right w:val="single" w:sz="4" w:space="0" w:color="auto"/>
            </w:tcBorders>
            <w:vAlign w:val="center"/>
            <w:hideMark/>
          </w:tcPr>
          <w:p w14:paraId="09F9E1A1" w14:textId="77777777" w:rsidR="00F264E3" w:rsidRPr="00F264E3" w:rsidRDefault="00F264E3" w:rsidP="00132B2B">
            <w:pPr>
              <w:widowControl/>
              <w:autoSpaceDE/>
              <w:autoSpaceDN/>
              <w:jc w:val="both"/>
              <w:rPr>
                <w:rFonts w:asciiTheme="majorBidi" w:eastAsia="Calibri" w:hAnsiTheme="majorBidi" w:cstheme="majorBidi"/>
                <w:b/>
                <w:bCs/>
                <w:kern w:val="2"/>
                <w:sz w:val="20"/>
                <w:szCs w:val="20"/>
                <w14:ligatures w14:val="standardContextual"/>
              </w:rPr>
            </w:pPr>
            <w:r w:rsidRPr="00F264E3">
              <w:rPr>
                <w:rFonts w:asciiTheme="majorBidi" w:eastAsia="Calibri" w:hAnsiTheme="majorBidi" w:cstheme="majorBidi"/>
                <w:b/>
                <w:bCs/>
                <w:kern w:val="2"/>
                <w:sz w:val="20"/>
                <w:szCs w:val="20"/>
                <w14:ligatures w14:val="standardContextual"/>
              </w:rPr>
              <w:t>Group 3</w:t>
            </w:r>
          </w:p>
        </w:tc>
        <w:tc>
          <w:tcPr>
            <w:tcW w:w="520" w:type="dxa"/>
            <w:tcBorders>
              <w:top w:val="single" w:sz="8" w:space="0" w:color="auto"/>
              <w:left w:val="nil"/>
              <w:bottom w:val="single" w:sz="8" w:space="0" w:color="auto"/>
              <w:right w:val="single" w:sz="4" w:space="0" w:color="auto"/>
            </w:tcBorders>
            <w:vAlign w:val="center"/>
            <w:hideMark/>
          </w:tcPr>
          <w:p w14:paraId="525196F5" w14:textId="77777777" w:rsidR="00F264E3" w:rsidRPr="00F264E3" w:rsidRDefault="00F264E3" w:rsidP="00132B2B">
            <w:pPr>
              <w:widowControl/>
              <w:autoSpaceDE/>
              <w:autoSpaceDN/>
              <w:jc w:val="both"/>
              <w:rPr>
                <w:rFonts w:asciiTheme="majorBidi" w:eastAsia="Calibri" w:hAnsiTheme="majorBidi" w:cstheme="majorBidi"/>
                <w:b/>
                <w:bCs/>
                <w:kern w:val="2"/>
                <w:sz w:val="20"/>
                <w:szCs w:val="20"/>
                <w:lang w:val="ru-RU"/>
                <w14:ligatures w14:val="standardContextual"/>
              </w:rPr>
            </w:pPr>
            <w:r w:rsidRPr="00F264E3">
              <w:rPr>
                <w:rFonts w:asciiTheme="majorBidi" w:eastAsia="Calibri" w:hAnsiTheme="majorBidi" w:cstheme="majorBidi"/>
                <w:b/>
                <w:bCs/>
                <w:kern w:val="2"/>
                <w:sz w:val="20"/>
                <w:szCs w:val="20"/>
                <w:lang w:val="ru-RU"/>
                <w14:ligatures w14:val="standardContextual"/>
              </w:rPr>
              <w:t>p (I–II)</w:t>
            </w:r>
          </w:p>
        </w:tc>
        <w:tc>
          <w:tcPr>
            <w:tcW w:w="880" w:type="dxa"/>
            <w:tcBorders>
              <w:top w:val="single" w:sz="8" w:space="0" w:color="auto"/>
              <w:left w:val="nil"/>
              <w:bottom w:val="single" w:sz="8" w:space="0" w:color="auto"/>
              <w:right w:val="single" w:sz="4" w:space="0" w:color="auto"/>
            </w:tcBorders>
            <w:vAlign w:val="center"/>
            <w:hideMark/>
          </w:tcPr>
          <w:p w14:paraId="1F191B0F" w14:textId="77777777" w:rsidR="00F264E3" w:rsidRPr="00F264E3" w:rsidRDefault="00F264E3" w:rsidP="00132B2B">
            <w:pPr>
              <w:widowControl/>
              <w:autoSpaceDE/>
              <w:autoSpaceDN/>
              <w:jc w:val="both"/>
              <w:rPr>
                <w:rFonts w:asciiTheme="majorBidi" w:eastAsia="Calibri" w:hAnsiTheme="majorBidi" w:cstheme="majorBidi"/>
                <w:b/>
                <w:bCs/>
                <w:kern w:val="2"/>
                <w:sz w:val="20"/>
                <w:szCs w:val="20"/>
                <w:lang w:val="ru-RU"/>
                <w14:ligatures w14:val="standardContextual"/>
              </w:rPr>
            </w:pPr>
            <w:r w:rsidRPr="00F264E3">
              <w:rPr>
                <w:rFonts w:asciiTheme="majorBidi" w:eastAsia="Calibri" w:hAnsiTheme="majorBidi" w:cstheme="majorBidi"/>
                <w:b/>
                <w:bCs/>
                <w:kern w:val="2"/>
                <w:sz w:val="20"/>
                <w:szCs w:val="20"/>
                <w:lang w:val="ru-RU"/>
                <w14:ligatures w14:val="standardContextual"/>
              </w:rPr>
              <w:t>p (I–III)</w:t>
            </w:r>
          </w:p>
        </w:tc>
        <w:tc>
          <w:tcPr>
            <w:tcW w:w="900" w:type="dxa"/>
            <w:tcBorders>
              <w:top w:val="single" w:sz="8" w:space="0" w:color="auto"/>
              <w:left w:val="nil"/>
              <w:bottom w:val="single" w:sz="8" w:space="0" w:color="auto"/>
              <w:right w:val="single" w:sz="8" w:space="0" w:color="auto"/>
            </w:tcBorders>
            <w:vAlign w:val="center"/>
            <w:hideMark/>
          </w:tcPr>
          <w:p w14:paraId="212FD110" w14:textId="77777777" w:rsidR="00F264E3" w:rsidRPr="00F264E3" w:rsidRDefault="00F264E3" w:rsidP="00132B2B">
            <w:pPr>
              <w:widowControl/>
              <w:autoSpaceDE/>
              <w:autoSpaceDN/>
              <w:jc w:val="both"/>
              <w:rPr>
                <w:rFonts w:asciiTheme="majorBidi" w:eastAsia="Calibri" w:hAnsiTheme="majorBidi" w:cstheme="majorBidi"/>
                <w:b/>
                <w:bCs/>
                <w:kern w:val="2"/>
                <w:sz w:val="20"/>
                <w:szCs w:val="20"/>
                <w:lang w:val="ru-RU"/>
                <w14:ligatures w14:val="standardContextual"/>
              </w:rPr>
            </w:pPr>
            <w:r w:rsidRPr="00F264E3">
              <w:rPr>
                <w:rFonts w:asciiTheme="majorBidi" w:eastAsia="Calibri" w:hAnsiTheme="majorBidi" w:cstheme="majorBidi"/>
                <w:b/>
                <w:bCs/>
                <w:kern w:val="2"/>
                <w:sz w:val="20"/>
                <w:szCs w:val="20"/>
                <w:lang w:val="ru-RU"/>
                <w14:ligatures w14:val="standardContextual"/>
              </w:rPr>
              <w:t>p (II–III)</w:t>
            </w:r>
          </w:p>
        </w:tc>
      </w:tr>
      <w:tr w:rsidR="00F264E3" w:rsidRPr="00F264E3" w14:paraId="25BF9B52" w14:textId="77777777" w:rsidTr="00132B2B">
        <w:trPr>
          <w:trHeight w:val="20"/>
        </w:trPr>
        <w:tc>
          <w:tcPr>
            <w:tcW w:w="1920" w:type="dxa"/>
            <w:tcBorders>
              <w:top w:val="nil"/>
              <w:left w:val="single" w:sz="8" w:space="0" w:color="auto"/>
              <w:bottom w:val="single" w:sz="4" w:space="0" w:color="auto"/>
              <w:right w:val="single" w:sz="8" w:space="0" w:color="auto"/>
            </w:tcBorders>
            <w:vAlign w:val="center"/>
            <w:hideMark/>
          </w:tcPr>
          <w:p w14:paraId="7AE256DE"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CVR (%)</w:t>
            </w:r>
          </w:p>
        </w:tc>
        <w:tc>
          <w:tcPr>
            <w:tcW w:w="1480" w:type="dxa"/>
            <w:tcBorders>
              <w:top w:val="nil"/>
              <w:left w:val="nil"/>
              <w:bottom w:val="single" w:sz="4" w:space="0" w:color="auto"/>
              <w:right w:val="single" w:sz="4" w:space="0" w:color="auto"/>
            </w:tcBorders>
            <w:vAlign w:val="center"/>
            <w:hideMark/>
          </w:tcPr>
          <w:p w14:paraId="582B7630"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32,4 ± 5,6 [31,6–33,2]</w:t>
            </w:r>
          </w:p>
        </w:tc>
        <w:tc>
          <w:tcPr>
            <w:tcW w:w="1500" w:type="dxa"/>
            <w:tcBorders>
              <w:top w:val="nil"/>
              <w:left w:val="nil"/>
              <w:bottom w:val="single" w:sz="4" w:space="0" w:color="auto"/>
              <w:right w:val="single" w:sz="4" w:space="0" w:color="auto"/>
            </w:tcBorders>
            <w:vAlign w:val="center"/>
            <w:hideMark/>
          </w:tcPr>
          <w:p w14:paraId="1661ECE0"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28,7 ± 6,1 [27,7–29,7]</w:t>
            </w:r>
          </w:p>
        </w:tc>
        <w:tc>
          <w:tcPr>
            <w:tcW w:w="1460" w:type="dxa"/>
            <w:tcBorders>
              <w:top w:val="nil"/>
              <w:left w:val="nil"/>
              <w:bottom w:val="single" w:sz="4" w:space="0" w:color="auto"/>
              <w:right w:val="single" w:sz="4" w:space="0" w:color="auto"/>
            </w:tcBorders>
            <w:vAlign w:val="center"/>
            <w:hideMark/>
          </w:tcPr>
          <w:p w14:paraId="45C91442"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27,1 ± 6,3 [26,0–28,2]</w:t>
            </w:r>
          </w:p>
        </w:tc>
        <w:tc>
          <w:tcPr>
            <w:tcW w:w="520" w:type="dxa"/>
            <w:tcBorders>
              <w:top w:val="nil"/>
              <w:left w:val="nil"/>
              <w:bottom w:val="single" w:sz="4" w:space="0" w:color="auto"/>
              <w:right w:val="single" w:sz="4" w:space="0" w:color="auto"/>
            </w:tcBorders>
            <w:noWrap/>
            <w:vAlign w:val="center"/>
            <w:hideMark/>
          </w:tcPr>
          <w:p w14:paraId="4E1AFB5F"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 </w:t>
            </w:r>
          </w:p>
        </w:tc>
        <w:tc>
          <w:tcPr>
            <w:tcW w:w="880" w:type="dxa"/>
            <w:tcBorders>
              <w:top w:val="nil"/>
              <w:left w:val="nil"/>
              <w:bottom w:val="single" w:sz="4" w:space="0" w:color="auto"/>
              <w:right w:val="single" w:sz="4" w:space="0" w:color="auto"/>
            </w:tcBorders>
            <w:noWrap/>
            <w:vAlign w:val="center"/>
            <w:hideMark/>
          </w:tcPr>
          <w:p w14:paraId="7C2A4BB7"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0,017</w:t>
            </w:r>
          </w:p>
        </w:tc>
        <w:tc>
          <w:tcPr>
            <w:tcW w:w="900" w:type="dxa"/>
            <w:tcBorders>
              <w:top w:val="nil"/>
              <w:left w:val="single" w:sz="4" w:space="0" w:color="auto"/>
              <w:bottom w:val="single" w:sz="4" w:space="0" w:color="auto"/>
              <w:right w:val="single" w:sz="8" w:space="0" w:color="auto"/>
            </w:tcBorders>
            <w:noWrap/>
            <w:vAlign w:val="center"/>
            <w:hideMark/>
          </w:tcPr>
          <w:p w14:paraId="7DA7B45F"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0,006</w:t>
            </w:r>
          </w:p>
        </w:tc>
      </w:tr>
      <w:tr w:rsidR="00F264E3" w:rsidRPr="00F264E3" w14:paraId="54B74AFE" w14:textId="77777777" w:rsidTr="00132B2B">
        <w:trPr>
          <w:trHeight w:val="20"/>
        </w:trPr>
        <w:tc>
          <w:tcPr>
            <w:tcW w:w="1920" w:type="dxa"/>
            <w:tcBorders>
              <w:top w:val="nil"/>
              <w:left w:val="single" w:sz="8" w:space="0" w:color="auto"/>
              <w:bottom w:val="single" w:sz="4" w:space="0" w:color="auto"/>
              <w:right w:val="single" w:sz="8" w:space="0" w:color="auto"/>
            </w:tcBorders>
            <w:vAlign w:val="center"/>
            <w:hideMark/>
          </w:tcPr>
          <w:p w14:paraId="42B6678A"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CBF (ml/100g/min)</w:t>
            </w:r>
          </w:p>
        </w:tc>
        <w:tc>
          <w:tcPr>
            <w:tcW w:w="1480" w:type="dxa"/>
            <w:tcBorders>
              <w:top w:val="nil"/>
              <w:left w:val="nil"/>
              <w:bottom w:val="single" w:sz="4" w:space="0" w:color="auto"/>
              <w:right w:val="single" w:sz="4" w:space="0" w:color="auto"/>
            </w:tcBorders>
            <w:vAlign w:val="center"/>
            <w:hideMark/>
          </w:tcPr>
          <w:p w14:paraId="6AAEEF4C"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52,8 ± 6,9 [51,8–53,8]</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41F3277"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48,9 ± 7,2 [47,8–50,0]</w:t>
            </w:r>
          </w:p>
        </w:tc>
        <w:tc>
          <w:tcPr>
            <w:tcW w:w="1460" w:type="dxa"/>
            <w:tcBorders>
              <w:top w:val="single" w:sz="4" w:space="0" w:color="auto"/>
              <w:left w:val="nil"/>
              <w:bottom w:val="single" w:sz="4" w:space="0" w:color="auto"/>
              <w:right w:val="single" w:sz="4" w:space="0" w:color="auto"/>
            </w:tcBorders>
            <w:vAlign w:val="center"/>
            <w:hideMark/>
          </w:tcPr>
          <w:p w14:paraId="4BDFE2BC"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47,6 ± 7,5 [46,4–48,8]</w:t>
            </w:r>
          </w:p>
        </w:tc>
        <w:tc>
          <w:tcPr>
            <w:tcW w:w="520" w:type="dxa"/>
            <w:tcBorders>
              <w:top w:val="single" w:sz="4" w:space="0" w:color="auto"/>
              <w:left w:val="nil"/>
              <w:bottom w:val="single" w:sz="4" w:space="0" w:color="auto"/>
              <w:right w:val="single" w:sz="4" w:space="0" w:color="auto"/>
            </w:tcBorders>
            <w:noWrap/>
            <w:vAlign w:val="center"/>
            <w:hideMark/>
          </w:tcPr>
          <w:p w14:paraId="670A2887"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 </w:t>
            </w:r>
          </w:p>
        </w:tc>
        <w:tc>
          <w:tcPr>
            <w:tcW w:w="880" w:type="dxa"/>
            <w:tcBorders>
              <w:top w:val="single" w:sz="4" w:space="0" w:color="auto"/>
              <w:left w:val="nil"/>
              <w:bottom w:val="single" w:sz="4" w:space="0" w:color="auto"/>
              <w:right w:val="single" w:sz="4" w:space="0" w:color="auto"/>
            </w:tcBorders>
            <w:noWrap/>
            <w:vAlign w:val="center"/>
            <w:hideMark/>
          </w:tcPr>
          <w:p w14:paraId="0BC1A1E8"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0,022</w:t>
            </w:r>
          </w:p>
        </w:tc>
        <w:tc>
          <w:tcPr>
            <w:tcW w:w="900" w:type="dxa"/>
            <w:tcBorders>
              <w:top w:val="single" w:sz="4" w:space="0" w:color="auto"/>
              <w:left w:val="single" w:sz="4" w:space="0" w:color="auto"/>
              <w:bottom w:val="single" w:sz="4" w:space="0" w:color="auto"/>
              <w:right w:val="single" w:sz="8" w:space="0" w:color="auto"/>
            </w:tcBorders>
            <w:noWrap/>
            <w:vAlign w:val="center"/>
            <w:hideMark/>
          </w:tcPr>
          <w:p w14:paraId="1E6CF31C"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0,011</w:t>
            </w:r>
          </w:p>
        </w:tc>
      </w:tr>
      <w:tr w:rsidR="00F264E3" w:rsidRPr="00F264E3" w14:paraId="5BDDDEFC" w14:textId="77777777" w:rsidTr="00132B2B">
        <w:trPr>
          <w:trHeight w:val="20"/>
        </w:trPr>
        <w:tc>
          <w:tcPr>
            <w:tcW w:w="1920" w:type="dxa"/>
            <w:tcBorders>
              <w:top w:val="nil"/>
              <w:left w:val="single" w:sz="8" w:space="0" w:color="auto"/>
              <w:bottom w:val="single" w:sz="4" w:space="0" w:color="auto"/>
              <w:right w:val="single" w:sz="8" w:space="0" w:color="auto"/>
            </w:tcBorders>
            <w:vAlign w:val="center"/>
            <w:hideMark/>
          </w:tcPr>
          <w:p w14:paraId="16C4D99A"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CBV (ml/100g)</w:t>
            </w:r>
          </w:p>
        </w:tc>
        <w:tc>
          <w:tcPr>
            <w:tcW w:w="1480" w:type="dxa"/>
            <w:tcBorders>
              <w:top w:val="nil"/>
              <w:left w:val="nil"/>
              <w:bottom w:val="single" w:sz="4" w:space="0" w:color="auto"/>
              <w:right w:val="single" w:sz="4" w:space="0" w:color="auto"/>
            </w:tcBorders>
            <w:vAlign w:val="center"/>
            <w:hideMark/>
          </w:tcPr>
          <w:p w14:paraId="18DCAEEE"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4,3 ± 0,7 [4,2–4,4]</w:t>
            </w:r>
          </w:p>
        </w:tc>
        <w:tc>
          <w:tcPr>
            <w:tcW w:w="1500" w:type="dxa"/>
            <w:tcBorders>
              <w:top w:val="nil"/>
              <w:left w:val="single" w:sz="4" w:space="0" w:color="auto"/>
              <w:bottom w:val="single" w:sz="4" w:space="0" w:color="auto"/>
              <w:right w:val="single" w:sz="4" w:space="0" w:color="auto"/>
            </w:tcBorders>
            <w:vAlign w:val="center"/>
            <w:hideMark/>
          </w:tcPr>
          <w:p w14:paraId="652FACF6"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4,0 ± 0,6 [3,9–4,1]</w:t>
            </w:r>
          </w:p>
        </w:tc>
        <w:tc>
          <w:tcPr>
            <w:tcW w:w="1460" w:type="dxa"/>
            <w:tcBorders>
              <w:top w:val="nil"/>
              <w:left w:val="nil"/>
              <w:bottom w:val="single" w:sz="4" w:space="0" w:color="auto"/>
              <w:right w:val="single" w:sz="4" w:space="0" w:color="auto"/>
            </w:tcBorders>
            <w:vAlign w:val="center"/>
            <w:hideMark/>
          </w:tcPr>
          <w:p w14:paraId="710B44A9"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3,8 ± 0,7 [3,7–3,9]</w:t>
            </w:r>
          </w:p>
        </w:tc>
        <w:tc>
          <w:tcPr>
            <w:tcW w:w="520" w:type="dxa"/>
            <w:tcBorders>
              <w:top w:val="nil"/>
              <w:left w:val="nil"/>
              <w:bottom w:val="single" w:sz="4" w:space="0" w:color="auto"/>
              <w:right w:val="single" w:sz="4" w:space="0" w:color="auto"/>
            </w:tcBorders>
            <w:noWrap/>
            <w:vAlign w:val="center"/>
            <w:hideMark/>
          </w:tcPr>
          <w:p w14:paraId="58560BCB"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 </w:t>
            </w:r>
          </w:p>
        </w:tc>
        <w:tc>
          <w:tcPr>
            <w:tcW w:w="880" w:type="dxa"/>
            <w:tcBorders>
              <w:top w:val="nil"/>
              <w:left w:val="nil"/>
              <w:bottom w:val="single" w:sz="4" w:space="0" w:color="auto"/>
              <w:right w:val="single" w:sz="4" w:space="0" w:color="auto"/>
            </w:tcBorders>
            <w:noWrap/>
            <w:vAlign w:val="center"/>
            <w:hideMark/>
          </w:tcPr>
          <w:p w14:paraId="780F4315"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0,036</w:t>
            </w:r>
          </w:p>
        </w:tc>
        <w:tc>
          <w:tcPr>
            <w:tcW w:w="900" w:type="dxa"/>
            <w:tcBorders>
              <w:top w:val="nil"/>
              <w:left w:val="single" w:sz="4" w:space="0" w:color="auto"/>
              <w:bottom w:val="single" w:sz="4" w:space="0" w:color="auto"/>
              <w:right w:val="single" w:sz="8" w:space="0" w:color="auto"/>
            </w:tcBorders>
            <w:noWrap/>
            <w:vAlign w:val="center"/>
            <w:hideMark/>
          </w:tcPr>
          <w:p w14:paraId="7C8D82BF"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0,019</w:t>
            </w:r>
          </w:p>
        </w:tc>
      </w:tr>
      <w:tr w:rsidR="00F264E3" w:rsidRPr="00F264E3" w14:paraId="77DD127F" w14:textId="77777777" w:rsidTr="00132B2B">
        <w:trPr>
          <w:trHeight w:val="20"/>
        </w:trPr>
        <w:tc>
          <w:tcPr>
            <w:tcW w:w="1920" w:type="dxa"/>
            <w:tcBorders>
              <w:top w:val="nil"/>
              <w:left w:val="single" w:sz="8" w:space="0" w:color="auto"/>
              <w:bottom w:val="single" w:sz="4" w:space="0" w:color="auto"/>
              <w:right w:val="single" w:sz="8" w:space="0" w:color="auto"/>
            </w:tcBorders>
            <w:vAlign w:val="center"/>
            <w:hideMark/>
          </w:tcPr>
          <w:p w14:paraId="69C03E4A"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MTT (c)</w:t>
            </w:r>
          </w:p>
        </w:tc>
        <w:tc>
          <w:tcPr>
            <w:tcW w:w="1480" w:type="dxa"/>
            <w:tcBorders>
              <w:top w:val="nil"/>
              <w:left w:val="nil"/>
              <w:bottom w:val="single" w:sz="4" w:space="0" w:color="auto"/>
              <w:right w:val="single" w:sz="4" w:space="0" w:color="auto"/>
            </w:tcBorders>
            <w:vAlign w:val="center"/>
            <w:hideMark/>
          </w:tcPr>
          <w:p w14:paraId="0F22876F"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4,9 ± 0,6 [4,8–5,0]</w:t>
            </w:r>
          </w:p>
        </w:tc>
        <w:tc>
          <w:tcPr>
            <w:tcW w:w="1500" w:type="dxa"/>
            <w:tcBorders>
              <w:top w:val="nil"/>
              <w:left w:val="single" w:sz="4" w:space="0" w:color="auto"/>
              <w:bottom w:val="single" w:sz="4" w:space="0" w:color="auto"/>
              <w:right w:val="single" w:sz="4" w:space="0" w:color="auto"/>
            </w:tcBorders>
            <w:vAlign w:val="center"/>
            <w:hideMark/>
          </w:tcPr>
          <w:p w14:paraId="3AB26C0A"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5,3 ± 0,7 [5,2–5,4]</w:t>
            </w:r>
          </w:p>
        </w:tc>
        <w:tc>
          <w:tcPr>
            <w:tcW w:w="1460" w:type="dxa"/>
            <w:tcBorders>
              <w:top w:val="nil"/>
              <w:left w:val="nil"/>
              <w:bottom w:val="single" w:sz="4" w:space="0" w:color="auto"/>
              <w:right w:val="single" w:sz="4" w:space="0" w:color="auto"/>
            </w:tcBorders>
            <w:vAlign w:val="center"/>
            <w:hideMark/>
          </w:tcPr>
          <w:p w14:paraId="69E796BE"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5,6 ± 0,8 [5,5–5,7]</w:t>
            </w:r>
          </w:p>
        </w:tc>
        <w:tc>
          <w:tcPr>
            <w:tcW w:w="520" w:type="dxa"/>
            <w:tcBorders>
              <w:top w:val="nil"/>
              <w:left w:val="nil"/>
              <w:bottom w:val="single" w:sz="4" w:space="0" w:color="auto"/>
              <w:right w:val="single" w:sz="4" w:space="0" w:color="auto"/>
            </w:tcBorders>
            <w:noWrap/>
            <w:vAlign w:val="center"/>
            <w:hideMark/>
          </w:tcPr>
          <w:p w14:paraId="748EF26D"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 </w:t>
            </w:r>
          </w:p>
        </w:tc>
        <w:tc>
          <w:tcPr>
            <w:tcW w:w="880" w:type="dxa"/>
            <w:tcBorders>
              <w:top w:val="nil"/>
              <w:left w:val="nil"/>
              <w:bottom w:val="single" w:sz="4" w:space="0" w:color="auto"/>
              <w:right w:val="single" w:sz="4" w:space="0" w:color="auto"/>
            </w:tcBorders>
            <w:noWrap/>
            <w:vAlign w:val="center"/>
            <w:hideMark/>
          </w:tcPr>
          <w:p w14:paraId="2AF74605"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0,041</w:t>
            </w:r>
          </w:p>
        </w:tc>
        <w:tc>
          <w:tcPr>
            <w:tcW w:w="900" w:type="dxa"/>
            <w:tcBorders>
              <w:top w:val="nil"/>
              <w:left w:val="single" w:sz="4" w:space="0" w:color="auto"/>
              <w:bottom w:val="single" w:sz="4" w:space="0" w:color="auto"/>
              <w:right w:val="single" w:sz="8" w:space="0" w:color="auto"/>
            </w:tcBorders>
            <w:noWrap/>
            <w:vAlign w:val="center"/>
            <w:hideMark/>
          </w:tcPr>
          <w:p w14:paraId="6B46028F"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0,026</w:t>
            </w:r>
          </w:p>
        </w:tc>
      </w:tr>
      <w:tr w:rsidR="00F264E3" w:rsidRPr="00F264E3" w14:paraId="77ECB5A7" w14:textId="77777777" w:rsidTr="00132B2B">
        <w:trPr>
          <w:trHeight w:val="20"/>
        </w:trPr>
        <w:tc>
          <w:tcPr>
            <w:tcW w:w="1920" w:type="dxa"/>
            <w:tcBorders>
              <w:top w:val="nil"/>
              <w:left w:val="single" w:sz="8" w:space="0" w:color="auto"/>
              <w:bottom w:val="single" w:sz="8" w:space="0" w:color="auto"/>
              <w:right w:val="single" w:sz="8" w:space="0" w:color="auto"/>
            </w:tcBorders>
            <w:vAlign w:val="center"/>
            <w:hideMark/>
          </w:tcPr>
          <w:p w14:paraId="771B775D"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Tmax (s)</w:t>
            </w:r>
          </w:p>
        </w:tc>
        <w:tc>
          <w:tcPr>
            <w:tcW w:w="1480" w:type="dxa"/>
            <w:tcBorders>
              <w:top w:val="nil"/>
              <w:left w:val="nil"/>
              <w:bottom w:val="single" w:sz="8" w:space="0" w:color="auto"/>
              <w:right w:val="single" w:sz="4" w:space="0" w:color="auto"/>
            </w:tcBorders>
            <w:vAlign w:val="center"/>
            <w:hideMark/>
          </w:tcPr>
          <w:p w14:paraId="73BF13E8"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5,1 ± 0,7 [5,0–5,2]</w:t>
            </w:r>
          </w:p>
        </w:tc>
        <w:tc>
          <w:tcPr>
            <w:tcW w:w="1500" w:type="dxa"/>
            <w:tcBorders>
              <w:top w:val="nil"/>
              <w:left w:val="single" w:sz="4" w:space="0" w:color="auto"/>
              <w:bottom w:val="single" w:sz="8" w:space="0" w:color="auto"/>
              <w:right w:val="single" w:sz="4" w:space="0" w:color="auto"/>
            </w:tcBorders>
            <w:vAlign w:val="center"/>
            <w:hideMark/>
          </w:tcPr>
          <w:p w14:paraId="046BA57E"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5,6 ± 0,8 [5,5–5,7]</w:t>
            </w:r>
          </w:p>
        </w:tc>
        <w:tc>
          <w:tcPr>
            <w:tcW w:w="1460" w:type="dxa"/>
            <w:tcBorders>
              <w:top w:val="nil"/>
              <w:left w:val="nil"/>
              <w:bottom w:val="single" w:sz="8" w:space="0" w:color="auto"/>
              <w:right w:val="single" w:sz="4" w:space="0" w:color="auto"/>
            </w:tcBorders>
            <w:vAlign w:val="center"/>
            <w:hideMark/>
          </w:tcPr>
          <w:p w14:paraId="30B89024"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5,9 ± 0,9 [5,7–6,1]</w:t>
            </w:r>
          </w:p>
        </w:tc>
        <w:tc>
          <w:tcPr>
            <w:tcW w:w="520" w:type="dxa"/>
            <w:tcBorders>
              <w:top w:val="nil"/>
              <w:left w:val="nil"/>
              <w:bottom w:val="single" w:sz="8" w:space="0" w:color="auto"/>
              <w:right w:val="single" w:sz="4" w:space="0" w:color="auto"/>
            </w:tcBorders>
            <w:noWrap/>
            <w:vAlign w:val="center"/>
            <w:hideMark/>
          </w:tcPr>
          <w:p w14:paraId="337E85DA"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 </w:t>
            </w:r>
          </w:p>
        </w:tc>
        <w:tc>
          <w:tcPr>
            <w:tcW w:w="880" w:type="dxa"/>
            <w:tcBorders>
              <w:top w:val="nil"/>
              <w:left w:val="nil"/>
              <w:bottom w:val="single" w:sz="8" w:space="0" w:color="auto"/>
              <w:right w:val="single" w:sz="4" w:space="0" w:color="auto"/>
            </w:tcBorders>
            <w:noWrap/>
            <w:vAlign w:val="center"/>
            <w:hideMark/>
          </w:tcPr>
          <w:p w14:paraId="17E1CEB2"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0,034</w:t>
            </w:r>
          </w:p>
        </w:tc>
        <w:tc>
          <w:tcPr>
            <w:tcW w:w="900" w:type="dxa"/>
            <w:tcBorders>
              <w:top w:val="nil"/>
              <w:left w:val="single" w:sz="4" w:space="0" w:color="auto"/>
              <w:bottom w:val="single" w:sz="8" w:space="0" w:color="auto"/>
              <w:right w:val="single" w:sz="8" w:space="0" w:color="auto"/>
            </w:tcBorders>
            <w:noWrap/>
            <w:vAlign w:val="center"/>
            <w:hideMark/>
          </w:tcPr>
          <w:p w14:paraId="4CC3359D" w14:textId="77777777" w:rsidR="00F264E3" w:rsidRPr="00F264E3" w:rsidRDefault="00F264E3" w:rsidP="00132B2B">
            <w:pPr>
              <w:widowControl/>
              <w:autoSpaceDE/>
              <w:autoSpaceDN/>
              <w:jc w:val="both"/>
              <w:rPr>
                <w:rFonts w:asciiTheme="majorBidi" w:eastAsia="Calibri" w:hAnsiTheme="majorBidi" w:cstheme="majorBidi"/>
                <w:kern w:val="2"/>
                <w:sz w:val="20"/>
                <w:szCs w:val="20"/>
                <w:lang w:val="ru-RU"/>
                <w14:ligatures w14:val="standardContextual"/>
              </w:rPr>
            </w:pPr>
            <w:r w:rsidRPr="00F264E3">
              <w:rPr>
                <w:rFonts w:asciiTheme="majorBidi" w:eastAsia="Calibri" w:hAnsiTheme="majorBidi" w:cstheme="majorBidi"/>
                <w:kern w:val="2"/>
                <w:sz w:val="20"/>
                <w:szCs w:val="20"/>
                <w:lang w:val="ru-RU"/>
                <w14:ligatures w14:val="standardContextual"/>
              </w:rPr>
              <w:t>0,018</w:t>
            </w:r>
          </w:p>
        </w:tc>
      </w:tr>
    </w:tbl>
    <w:p w14:paraId="4F01BDE7" w14:textId="77777777" w:rsidR="00F264E3" w:rsidRPr="00F264E3" w:rsidRDefault="00F264E3" w:rsidP="00E60603">
      <w:pPr>
        <w:widowControl/>
        <w:autoSpaceDE/>
        <w:autoSpaceDN/>
        <w:spacing w:after="160"/>
        <w:jc w:val="center"/>
        <w:rPr>
          <w:rFonts w:asciiTheme="majorBidi" w:eastAsia="Calibri" w:hAnsiTheme="majorBidi" w:cstheme="majorBidi"/>
          <w:i/>
          <w:iCs/>
          <w:kern w:val="2"/>
          <w:sz w:val="20"/>
          <w:szCs w:val="20"/>
          <w14:ligatures w14:val="standardContextual"/>
        </w:rPr>
      </w:pPr>
      <w:r w:rsidRPr="00F264E3">
        <w:rPr>
          <w:rFonts w:asciiTheme="majorBidi" w:eastAsia="Calibri" w:hAnsiTheme="majorBidi" w:cstheme="majorBidi"/>
          <w:i/>
          <w:iCs/>
          <w:kern w:val="2"/>
          <w:sz w:val="20"/>
          <w:szCs w:val="20"/>
          <w14:ligatures w14:val="standardContextual"/>
        </w:rPr>
        <w:t>Note: [95% CI] - 95% confidence interval.</w:t>
      </w:r>
    </w:p>
    <w:p w14:paraId="5782B247"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MTT and </w:t>
      </w:r>
      <w:proofErr w:type="spellStart"/>
      <w:r w:rsidRPr="00F264E3">
        <w:rPr>
          <w:rFonts w:asciiTheme="majorBidi" w:eastAsia="Calibri" w:hAnsiTheme="majorBidi" w:cstheme="majorBidi"/>
          <w:kern w:val="2"/>
          <w:sz w:val="20"/>
          <w:szCs w:val="20"/>
          <w14:ligatures w14:val="standardContextual"/>
        </w:rPr>
        <w:t>Tmax</w:t>
      </w:r>
      <w:proofErr w:type="spellEnd"/>
      <w:r w:rsidRPr="00F264E3">
        <w:rPr>
          <w:rFonts w:asciiTheme="majorBidi" w:eastAsia="Calibri" w:hAnsiTheme="majorBidi" w:cstheme="majorBidi"/>
          <w:kern w:val="2"/>
          <w:sz w:val="20"/>
          <w:szCs w:val="20"/>
          <w14:ligatures w14:val="standardContextual"/>
        </w:rPr>
        <w:t xml:space="preserve"> (parameters of delayed perfusion). A progressive increase in MTT was observed from 4.9 ± 0.6 s (group I) to 5.6 ± 0.8 s (group III), as well as </w:t>
      </w:r>
      <w:proofErr w:type="spellStart"/>
      <w:r w:rsidRPr="00F264E3">
        <w:rPr>
          <w:rFonts w:asciiTheme="majorBidi" w:eastAsia="Calibri" w:hAnsiTheme="majorBidi" w:cstheme="majorBidi"/>
          <w:kern w:val="2"/>
          <w:sz w:val="20"/>
          <w:szCs w:val="20"/>
          <w14:ligatures w14:val="standardContextual"/>
        </w:rPr>
        <w:t>Tmax</w:t>
      </w:r>
      <w:proofErr w:type="spellEnd"/>
      <w:r w:rsidRPr="00F264E3">
        <w:rPr>
          <w:rFonts w:asciiTheme="majorBidi" w:eastAsia="Calibri" w:hAnsiTheme="majorBidi" w:cstheme="majorBidi"/>
          <w:kern w:val="2"/>
          <w:sz w:val="20"/>
          <w:szCs w:val="20"/>
          <w14:ligatures w14:val="standardContextual"/>
        </w:rPr>
        <w:t xml:space="preserve"> - from 5.1 ± 0.7 s to 5.9 ± 0.9 s, reflecting deterioration in cerebral blood flow velocity and the presence of severe hypoperfusion in the stenotic artery basins (p for MTT: 0.041 and 0.026; p for </w:t>
      </w:r>
      <w:proofErr w:type="spellStart"/>
      <w:r w:rsidRPr="00F264E3">
        <w:rPr>
          <w:rFonts w:asciiTheme="majorBidi" w:eastAsia="Calibri" w:hAnsiTheme="majorBidi" w:cstheme="majorBidi"/>
          <w:kern w:val="2"/>
          <w:sz w:val="20"/>
          <w:szCs w:val="20"/>
          <w14:ligatures w14:val="standardContextual"/>
        </w:rPr>
        <w:t>Tmax</w:t>
      </w:r>
      <w:proofErr w:type="spellEnd"/>
      <w:r w:rsidRPr="00F264E3">
        <w:rPr>
          <w:rFonts w:asciiTheme="majorBidi" w:eastAsia="Calibri" w:hAnsiTheme="majorBidi" w:cstheme="majorBidi"/>
          <w:kern w:val="2"/>
          <w:sz w:val="20"/>
          <w:szCs w:val="20"/>
          <w14:ligatures w14:val="standardContextual"/>
        </w:rPr>
        <w:t>: 0.034 and 0.018, respectively).</w:t>
      </w:r>
    </w:p>
    <w:p w14:paraId="4BFE2FCC"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Analysis of the obtained data demonstrates a significant deterioration in CVR and perfusion parameters in patients with increasing severity and prevalence of atherothrombotic lesions. Particularly pronounced changes are observed in group III, indicating a combined impairment of both anterior and posterior cerebral blood flow. A decrease in CVR, a reduction in CBF and CBV, and an increase in MTT and </w:t>
      </w:r>
      <w:proofErr w:type="spellStart"/>
      <w:r w:rsidRPr="00F264E3">
        <w:rPr>
          <w:rFonts w:asciiTheme="majorBidi" w:eastAsia="Calibri" w:hAnsiTheme="majorBidi" w:cstheme="majorBidi"/>
          <w:kern w:val="2"/>
          <w:sz w:val="20"/>
          <w:szCs w:val="20"/>
          <w14:ligatures w14:val="standardContextual"/>
        </w:rPr>
        <w:t>Tmax</w:t>
      </w:r>
      <w:proofErr w:type="spellEnd"/>
      <w:r w:rsidRPr="00F264E3">
        <w:rPr>
          <w:rFonts w:asciiTheme="majorBidi" w:eastAsia="Calibri" w:hAnsiTheme="majorBidi" w:cstheme="majorBidi"/>
          <w:kern w:val="2"/>
          <w:sz w:val="20"/>
          <w:szCs w:val="20"/>
          <w14:ligatures w14:val="standardContextual"/>
        </w:rPr>
        <w:t xml:space="preserve"> confirm the high risk of chronic cerebral ischemia in these patients and require active therapeutic and neuroprotective interventions (Table 3).</w:t>
      </w:r>
    </w:p>
    <w:p w14:paraId="717C956D" w14:textId="77777777" w:rsid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Assessing the degree of atherothrombotic stenosis in extracranial arteries is a critical component in risk stratification for ischemic events. According to current international criteria (NASCET, ECST), three stenosis categories are distinguished: &lt;50% (insignificant), 50–69% (moderate), and 70–99% (hemodynamically significant). The data presented in the table reflect the distribution of patients by these stenosis degrees depending on the clinical group.</w:t>
      </w:r>
    </w:p>
    <w:p w14:paraId="239A301D" w14:textId="77777777" w:rsidR="00E60603" w:rsidRPr="00F264E3" w:rsidRDefault="00E60603" w:rsidP="00F264E3">
      <w:pPr>
        <w:widowControl/>
        <w:autoSpaceDE/>
        <w:autoSpaceDN/>
        <w:spacing w:after="160"/>
        <w:jc w:val="both"/>
        <w:rPr>
          <w:rFonts w:asciiTheme="majorBidi" w:eastAsia="Calibri" w:hAnsiTheme="majorBidi" w:cstheme="majorBidi"/>
          <w:kern w:val="2"/>
          <w:sz w:val="20"/>
          <w:szCs w:val="20"/>
          <w14:ligatures w14:val="standardContextual"/>
        </w:rPr>
      </w:pPr>
    </w:p>
    <w:p w14:paraId="42767C82" w14:textId="6EE05C7C" w:rsidR="00E60603" w:rsidRPr="00E60603" w:rsidRDefault="00E60603" w:rsidP="00E60603">
      <w:pPr>
        <w:widowControl/>
        <w:autoSpaceDE/>
        <w:autoSpaceDN/>
        <w:spacing w:before="240"/>
        <w:jc w:val="center"/>
        <w:rPr>
          <w:rFonts w:asciiTheme="majorBidi" w:eastAsia="Calibri" w:hAnsiTheme="majorBidi" w:cstheme="majorBidi"/>
          <w:b/>
          <w:bCs/>
          <w:kern w:val="2"/>
          <w:sz w:val="20"/>
          <w:szCs w:val="20"/>
          <w14:ligatures w14:val="standardContextual"/>
        </w:rPr>
      </w:pPr>
      <w:r w:rsidRPr="00E60603">
        <w:rPr>
          <w:rFonts w:asciiTheme="majorBidi" w:eastAsia="Calibri" w:hAnsiTheme="majorBidi" w:cstheme="majorBidi"/>
          <w:b/>
          <w:bCs/>
          <w:kern w:val="2"/>
          <w:sz w:val="20"/>
          <w:szCs w:val="20"/>
          <w14:ligatures w14:val="standardContextual"/>
        </w:rPr>
        <w:t>Table 3.</w:t>
      </w:r>
      <w:r>
        <w:rPr>
          <w:rFonts w:asciiTheme="majorBidi" w:eastAsia="Calibri" w:hAnsiTheme="majorBidi" w:cstheme="majorBidi"/>
          <w:b/>
          <w:bCs/>
          <w:kern w:val="2"/>
          <w:sz w:val="20"/>
          <w:szCs w:val="20"/>
          <w14:ligatures w14:val="standardContextual"/>
        </w:rPr>
        <w:t xml:space="preserve"> </w:t>
      </w:r>
      <w:r w:rsidRPr="00E60603">
        <w:rPr>
          <w:rFonts w:asciiTheme="majorBidi" w:eastAsia="Calibri" w:hAnsiTheme="majorBidi" w:cstheme="majorBidi"/>
          <w:b/>
          <w:bCs/>
          <w:kern w:val="2"/>
          <w:sz w:val="20"/>
          <w:szCs w:val="20"/>
          <w14:ligatures w14:val="standardContextual"/>
        </w:rPr>
        <w:t>Stenosis degree (mean values) in groups</w:t>
      </w:r>
    </w:p>
    <w:tbl>
      <w:tblPr>
        <w:tblW w:w="6420" w:type="dxa"/>
        <w:jc w:val="center"/>
        <w:tblLook w:val="04A0" w:firstRow="1" w:lastRow="0" w:firstColumn="1" w:lastColumn="0" w:noHBand="0" w:noVBand="1"/>
      </w:tblPr>
      <w:tblGrid>
        <w:gridCol w:w="2300"/>
        <w:gridCol w:w="1340"/>
        <w:gridCol w:w="1020"/>
        <w:gridCol w:w="1760"/>
      </w:tblGrid>
      <w:tr w:rsidR="00E60603" w:rsidRPr="00E60603" w14:paraId="4BF58DBB" w14:textId="77777777" w:rsidTr="00132B2B">
        <w:trPr>
          <w:trHeight w:val="20"/>
          <w:jc w:val="center"/>
        </w:trPr>
        <w:tc>
          <w:tcPr>
            <w:tcW w:w="2300" w:type="dxa"/>
            <w:tcBorders>
              <w:top w:val="single" w:sz="8" w:space="0" w:color="auto"/>
              <w:left w:val="single" w:sz="8" w:space="0" w:color="auto"/>
              <w:bottom w:val="nil"/>
              <w:right w:val="single" w:sz="8" w:space="0" w:color="auto"/>
            </w:tcBorders>
            <w:vAlign w:val="center"/>
            <w:hideMark/>
          </w:tcPr>
          <w:p w14:paraId="569363C3"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14:ligatures w14:val="standardContextual"/>
              </w:rPr>
            </w:pPr>
            <w:r w:rsidRPr="00E60603">
              <w:rPr>
                <w:rFonts w:asciiTheme="majorBidi" w:eastAsia="Calibri" w:hAnsiTheme="majorBidi" w:cstheme="majorBidi"/>
                <w:b/>
                <w:bCs/>
                <w:kern w:val="2"/>
                <w:sz w:val="20"/>
                <w:szCs w:val="20"/>
                <w14:ligatures w14:val="standardContextual"/>
              </w:rPr>
              <w:t>Group</w:t>
            </w:r>
          </w:p>
        </w:tc>
        <w:tc>
          <w:tcPr>
            <w:tcW w:w="1340" w:type="dxa"/>
            <w:tcBorders>
              <w:top w:val="single" w:sz="8" w:space="0" w:color="auto"/>
              <w:left w:val="nil"/>
              <w:bottom w:val="nil"/>
              <w:right w:val="single" w:sz="4" w:space="0" w:color="auto"/>
            </w:tcBorders>
            <w:vAlign w:val="center"/>
            <w:hideMark/>
          </w:tcPr>
          <w:p w14:paraId="6F671630"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lang w:val="ru-RU"/>
                <w14:ligatures w14:val="standardContextual"/>
              </w:rPr>
            </w:pPr>
            <w:r w:rsidRPr="00E60603">
              <w:rPr>
                <w:rFonts w:asciiTheme="majorBidi" w:eastAsia="Calibri" w:hAnsiTheme="majorBidi" w:cstheme="majorBidi"/>
                <w:b/>
                <w:bCs/>
                <w:kern w:val="2"/>
                <w:sz w:val="20"/>
                <w:szCs w:val="20"/>
                <w:lang w:val="ru-RU"/>
                <w14:ligatures w14:val="standardContextual"/>
              </w:rPr>
              <w:t>Degree of stenosis</w:t>
            </w:r>
          </w:p>
        </w:tc>
        <w:tc>
          <w:tcPr>
            <w:tcW w:w="1020" w:type="dxa"/>
            <w:tcBorders>
              <w:top w:val="single" w:sz="8" w:space="0" w:color="auto"/>
              <w:left w:val="single" w:sz="4" w:space="0" w:color="auto"/>
              <w:bottom w:val="nil"/>
              <w:right w:val="single" w:sz="4" w:space="0" w:color="auto"/>
            </w:tcBorders>
            <w:vAlign w:val="center"/>
            <w:hideMark/>
          </w:tcPr>
          <w:p w14:paraId="60CB3449"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14:ligatures w14:val="standardContextual"/>
              </w:rPr>
            </w:pPr>
            <w:proofErr w:type="spellStart"/>
            <w:r w:rsidRPr="00E60603">
              <w:rPr>
                <w:rFonts w:asciiTheme="majorBidi" w:eastAsia="Calibri" w:hAnsiTheme="majorBidi" w:cstheme="majorBidi"/>
                <w:b/>
                <w:bCs/>
                <w:kern w:val="2"/>
                <w:sz w:val="20"/>
                <w:szCs w:val="20"/>
                <w14:ligatures w14:val="standardContextual"/>
              </w:rPr>
              <w:t>abc</w:t>
            </w:r>
            <w:proofErr w:type="spellEnd"/>
          </w:p>
        </w:tc>
        <w:tc>
          <w:tcPr>
            <w:tcW w:w="1760" w:type="dxa"/>
            <w:tcBorders>
              <w:top w:val="single" w:sz="8" w:space="0" w:color="auto"/>
              <w:left w:val="nil"/>
              <w:bottom w:val="nil"/>
              <w:right w:val="single" w:sz="8" w:space="0" w:color="auto"/>
            </w:tcBorders>
            <w:vAlign w:val="center"/>
            <w:hideMark/>
          </w:tcPr>
          <w:p w14:paraId="6EA1B04E"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lang w:val="ru-RU"/>
                <w14:ligatures w14:val="standardContextual"/>
              </w:rPr>
            </w:pPr>
            <w:r w:rsidRPr="00E60603">
              <w:rPr>
                <w:rFonts w:asciiTheme="majorBidi" w:eastAsia="Calibri" w:hAnsiTheme="majorBidi" w:cstheme="majorBidi"/>
                <w:b/>
                <w:bCs/>
                <w:kern w:val="2"/>
                <w:sz w:val="20"/>
                <w:szCs w:val="20"/>
                <w:lang w:val="ru-RU"/>
                <w14:ligatures w14:val="standardContextual"/>
              </w:rPr>
              <w:t>% of sample</w:t>
            </w:r>
          </w:p>
        </w:tc>
      </w:tr>
      <w:tr w:rsidR="00E60603" w:rsidRPr="00E60603" w14:paraId="3D2F533F" w14:textId="77777777" w:rsidTr="00132B2B">
        <w:trPr>
          <w:trHeight w:val="20"/>
          <w:jc w:val="center"/>
        </w:trPr>
        <w:tc>
          <w:tcPr>
            <w:tcW w:w="2300" w:type="dxa"/>
            <w:tcBorders>
              <w:top w:val="single" w:sz="8" w:space="0" w:color="auto"/>
              <w:left w:val="single" w:sz="8" w:space="0" w:color="auto"/>
              <w:bottom w:val="nil"/>
              <w:right w:val="single" w:sz="8" w:space="0" w:color="auto"/>
            </w:tcBorders>
            <w:noWrap/>
            <w:vAlign w:val="bottom"/>
            <w:hideMark/>
          </w:tcPr>
          <w:p w14:paraId="264B2044"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14:ligatures w14:val="standardContextual"/>
              </w:rPr>
              <w:t>1 Group</w:t>
            </w:r>
            <w:r w:rsidRPr="00E60603">
              <w:rPr>
                <w:rFonts w:asciiTheme="majorBidi" w:eastAsia="Calibri" w:hAnsiTheme="majorBidi" w:cstheme="majorBidi"/>
                <w:kern w:val="2"/>
                <w:sz w:val="20"/>
                <w:szCs w:val="20"/>
                <w:lang w:val="ru-RU"/>
                <w14:ligatures w14:val="standardContextual"/>
              </w:rPr>
              <w:t xml:space="preserve"> (n=41)</w:t>
            </w:r>
          </w:p>
        </w:tc>
        <w:tc>
          <w:tcPr>
            <w:tcW w:w="1340" w:type="dxa"/>
            <w:tcBorders>
              <w:top w:val="single" w:sz="8" w:space="0" w:color="auto"/>
              <w:left w:val="nil"/>
              <w:bottom w:val="single" w:sz="4" w:space="0" w:color="auto"/>
              <w:right w:val="single" w:sz="4" w:space="0" w:color="auto"/>
            </w:tcBorders>
            <w:noWrap/>
            <w:vAlign w:val="bottom"/>
            <w:hideMark/>
          </w:tcPr>
          <w:p w14:paraId="2B21A8AC"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&lt;50%</w:t>
            </w:r>
          </w:p>
        </w:tc>
        <w:tc>
          <w:tcPr>
            <w:tcW w:w="1020" w:type="dxa"/>
            <w:tcBorders>
              <w:top w:val="single" w:sz="8" w:space="0" w:color="auto"/>
              <w:left w:val="single" w:sz="4" w:space="0" w:color="auto"/>
              <w:bottom w:val="single" w:sz="4" w:space="0" w:color="auto"/>
              <w:right w:val="single" w:sz="4" w:space="0" w:color="auto"/>
            </w:tcBorders>
            <w:noWrap/>
            <w:vAlign w:val="center"/>
            <w:hideMark/>
          </w:tcPr>
          <w:p w14:paraId="45508B67"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24</w:t>
            </w:r>
          </w:p>
        </w:tc>
        <w:tc>
          <w:tcPr>
            <w:tcW w:w="1760" w:type="dxa"/>
            <w:tcBorders>
              <w:top w:val="single" w:sz="8" w:space="0" w:color="auto"/>
              <w:left w:val="nil"/>
              <w:bottom w:val="single" w:sz="4" w:space="0" w:color="auto"/>
              <w:right w:val="single" w:sz="8" w:space="0" w:color="auto"/>
            </w:tcBorders>
            <w:noWrap/>
            <w:vAlign w:val="center"/>
            <w:hideMark/>
          </w:tcPr>
          <w:p w14:paraId="3E00BBBF"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58,5%</w:t>
            </w:r>
          </w:p>
        </w:tc>
      </w:tr>
      <w:tr w:rsidR="00E60603" w:rsidRPr="00E60603" w14:paraId="345CDCE6" w14:textId="77777777" w:rsidTr="00132B2B">
        <w:trPr>
          <w:trHeight w:val="20"/>
          <w:jc w:val="center"/>
        </w:trPr>
        <w:tc>
          <w:tcPr>
            <w:tcW w:w="2300" w:type="dxa"/>
            <w:tcBorders>
              <w:top w:val="nil"/>
              <w:left w:val="single" w:sz="8" w:space="0" w:color="auto"/>
              <w:bottom w:val="nil"/>
              <w:right w:val="single" w:sz="8" w:space="0" w:color="auto"/>
            </w:tcBorders>
            <w:noWrap/>
            <w:vAlign w:val="bottom"/>
            <w:hideMark/>
          </w:tcPr>
          <w:p w14:paraId="5B996EF4"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 </w:t>
            </w:r>
          </w:p>
        </w:tc>
        <w:tc>
          <w:tcPr>
            <w:tcW w:w="1340" w:type="dxa"/>
            <w:tcBorders>
              <w:top w:val="nil"/>
              <w:left w:val="nil"/>
              <w:bottom w:val="single" w:sz="4" w:space="0" w:color="auto"/>
              <w:right w:val="single" w:sz="4" w:space="0" w:color="auto"/>
            </w:tcBorders>
            <w:noWrap/>
            <w:vAlign w:val="bottom"/>
            <w:hideMark/>
          </w:tcPr>
          <w:p w14:paraId="28426307"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50–69%</w:t>
            </w:r>
          </w:p>
        </w:tc>
        <w:tc>
          <w:tcPr>
            <w:tcW w:w="1020" w:type="dxa"/>
            <w:tcBorders>
              <w:top w:val="nil"/>
              <w:left w:val="single" w:sz="4" w:space="0" w:color="auto"/>
              <w:bottom w:val="single" w:sz="4" w:space="0" w:color="auto"/>
              <w:right w:val="single" w:sz="4" w:space="0" w:color="auto"/>
            </w:tcBorders>
            <w:noWrap/>
            <w:vAlign w:val="center"/>
            <w:hideMark/>
          </w:tcPr>
          <w:p w14:paraId="15DDDBF6"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15</w:t>
            </w:r>
          </w:p>
        </w:tc>
        <w:tc>
          <w:tcPr>
            <w:tcW w:w="1760" w:type="dxa"/>
            <w:tcBorders>
              <w:top w:val="single" w:sz="4" w:space="0" w:color="auto"/>
              <w:left w:val="single" w:sz="4" w:space="0" w:color="auto"/>
              <w:bottom w:val="single" w:sz="4" w:space="0" w:color="auto"/>
              <w:right w:val="single" w:sz="8" w:space="0" w:color="auto"/>
            </w:tcBorders>
            <w:noWrap/>
            <w:vAlign w:val="center"/>
            <w:hideMark/>
          </w:tcPr>
          <w:p w14:paraId="7B4C2CBA"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36,6%</w:t>
            </w:r>
          </w:p>
        </w:tc>
      </w:tr>
      <w:tr w:rsidR="00E60603" w:rsidRPr="00E60603" w14:paraId="7A8C6DA4" w14:textId="77777777" w:rsidTr="00132B2B">
        <w:trPr>
          <w:trHeight w:val="20"/>
          <w:jc w:val="center"/>
        </w:trPr>
        <w:tc>
          <w:tcPr>
            <w:tcW w:w="2300" w:type="dxa"/>
            <w:tcBorders>
              <w:top w:val="nil"/>
              <w:left w:val="single" w:sz="8" w:space="0" w:color="auto"/>
              <w:bottom w:val="nil"/>
              <w:right w:val="single" w:sz="8" w:space="0" w:color="auto"/>
            </w:tcBorders>
            <w:noWrap/>
            <w:vAlign w:val="bottom"/>
            <w:hideMark/>
          </w:tcPr>
          <w:p w14:paraId="69932ACF"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 </w:t>
            </w:r>
          </w:p>
        </w:tc>
        <w:tc>
          <w:tcPr>
            <w:tcW w:w="1340" w:type="dxa"/>
            <w:tcBorders>
              <w:top w:val="single" w:sz="4" w:space="0" w:color="auto"/>
              <w:left w:val="nil"/>
              <w:bottom w:val="nil"/>
              <w:right w:val="single" w:sz="4" w:space="0" w:color="auto"/>
            </w:tcBorders>
            <w:noWrap/>
            <w:vAlign w:val="bottom"/>
            <w:hideMark/>
          </w:tcPr>
          <w:p w14:paraId="4DDE3D6F"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70–99%</w:t>
            </w:r>
          </w:p>
        </w:tc>
        <w:tc>
          <w:tcPr>
            <w:tcW w:w="1020" w:type="dxa"/>
            <w:tcBorders>
              <w:top w:val="nil"/>
              <w:left w:val="nil"/>
              <w:bottom w:val="nil"/>
              <w:right w:val="single" w:sz="4" w:space="0" w:color="auto"/>
            </w:tcBorders>
            <w:noWrap/>
            <w:vAlign w:val="center"/>
            <w:hideMark/>
          </w:tcPr>
          <w:p w14:paraId="61E7BD4A"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2</w:t>
            </w:r>
          </w:p>
        </w:tc>
        <w:tc>
          <w:tcPr>
            <w:tcW w:w="1760" w:type="dxa"/>
            <w:tcBorders>
              <w:top w:val="nil"/>
              <w:left w:val="single" w:sz="4" w:space="0" w:color="auto"/>
              <w:bottom w:val="nil"/>
              <w:right w:val="single" w:sz="8" w:space="0" w:color="auto"/>
            </w:tcBorders>
            <w:noWrap/>
            <w:vAlign w:val="center"/>
            <w:hideMark/>
          </w:tcPr>
          <w:p w14:paraId="1255A44A"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4,9%</w:t>
            </w:r>
          </w:p>
        </w:tc>
      </w:tr>
      <w:tr w:rsidR="00E60603" w:rsidRPr="00E60603" w14:paraId="0B7F3B64" w14:textId="77777777" w:rsidTr="00132B2B">
        <w:trPr>
          <w:trHeight w:val="20"/>
          <w:jc w:val="center"/>
        </w:trPr>
        <w:tc>
          <w:tcPr>
            <w:tcW w:w="2300" w:type="dxa"/>
            <w:tcBorders>
              <w:top w:val="single" w:sz="8" w:space="0" w:color="auto"/>
              <w:left w:val="single" w:sz="8" w:space="0" w:color="auto"/>
              <w:bottom w:val="nil"/>
              <w:right w:val="single" w:sz="8" w:space="0" w:color="auto"/>
            </w:tcBorders>
            <w:noWrap/>
            <w:vAlign w:val="bottom"/>
            <w:hideMark/>
          </w:tcPr>
          <w:p w14:paraId="785726B5"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14:ligatures w14:val="standardContextual"/>
              </w:rPr>
              <w:t xml:space="preserve">2 </w:t>
            </w:r>
            <w:proofErr w:type="gramStart"/>
            <w:r w:rsidRPr="00E60603">
              <w:rPr>
                <w:rFonts w:asciiTheme="majorBidi" w:eastAsia="Calibri" w:hAnsiTheme="majorBidi" w:cstheme="majorBidi"/>
                <w:kern w:val="2"/>
                <w:sz w:val="20"/>
                <w:szCs w:val="20"/>
                <w14:ligatures w14:val="standardContextual"/>
              </w:rPr>
              <w:t>Group</w:t>
            </w:r>
            <w:r w:rsidRPr="00E60603">
              <w:rPr>
                <w:rFonts w:asciiTheme="majorBidi" w:eastAsia="Calibri" w:hAnsiTheme="majorBidi" w:cstheme="majorBidi"/>
                <w:kern w:val="2"/>
                <w:sz w:val="20"/>
                <w:szCs w:val="20"/>
                <w:lang w:val="ru-RU"/>
                <w14:ligatures w14:val="standardContextual"/>
              </w:rPr>
              <w:t xml:space="preserve">  (</w:t>
            </w:r>
            <w:proofErr w:type="gramEnd"/>
            <w:r w:rsidRPr="00E60603">
              <w:rPr>
                <w:rFonts w:asciiTheme="majorBidi" w:eastAsia="Calibri" w:hAnsiTheme="majorBidi" w:cstheme="majorBidi"/>
                <w:kern w:val="2"/>
                <w:sz w:val="20"/>
                <w:szCs w:val="20"/>
                <w:lang w:val="ru-RU"/>
                <w14:ligatures w14:val="standardContextual"/>
              </w:rPr>
              <w:t>n=58)</w:t>
            </w:r>
          </w:p>
        </w:tc>
        <w:tc>
          <w:tcPr>
            <w:tcW w:w="1340" w:type="dxa"/>
            <w:tcBorders>
              <w:top w:val="single" w:sz="8" w:space="0" w:color="auto"/>
              <w:left w:val="nil"/>
              <w:bottom w:val="single" w:sz="4" w:space="0" w:color="auto"/>
              <w:right w:val="single" w:sz="4" w:space="0" w:color="auto"/>
            </w:tcBorders>
            <w:noWrap/>
            <w:vAlign w:val="bottom"/>
            <w:hideMark/>
          </w:tcPr>
          <w:p w14:paraId="4274F0F4"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&lt;50%</w:t>
            </w:r>
          </w:p>
        </w:tc>
        <w:tc>
          <w:tcPr>
            <w:tcW w:w="1020" w:type="dxa"/>
            <w:tcBorders>
              <w:top w:val="single" w:sz="8" w:space="0" w:color="auto"/>
              <w:left w:val="single" w:sz="4" w:space="0" w:color="auto"/>
              <w:bottom w:val="single" w:sz="4" w:space="0" w:color="auto"/>
              <w:right w:val="single" w:sz="4" w:space="0" w:color="auto"/>
            </w:tcBorders>
            <w:noWrap/>
            <w:vAlign w:val="center"/>
            <w:hideMark/>
          </w:tcPr>
          <w:p w14:paraId="1B4C9C95"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29</w:t>
            </w:r>
          </w:p>
        </w:tc>
        <w:tc>
          <w:tcPr>
            <w:tcW w:w="1760" w:type="dxa"/>
            <w:tcBorders>
              <w:top w:val="single" w:sz="8" w:space="0" w:color="auto"/>
              <w:left w:val="nil"/>
              <w:bottom w:val="single" w:sz="4" w:space="0" w:color="auto"/>
              <w:right w:val="single" w:sz="8" w:space="0" w:color="auto"/>
            </w:tcBorders>
            <w:noWrap/>
            <w:vAlign w:val="center"/>
            <w:hideMark/>
          </w:tcPr>
          <w:p w14:paraId="651FAEBB"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50,0%</w:t>
            </w:r>
          </w:p>
        </w:tc>
      </w:tr>
      <w:tr w:rsidR="00E60603" w:rsidRPr="00E60603" w14:paraId="611BB857" w14:textId="77777777" w:rsidTr="00132B2B">
        <w:trPr>
          <w:trHeight w:val="20"/>
          <w:jc w:val="center"/>
        </w:trPr>
        <w:tc>
          <w:tcPr>
            <w:tcW w:w="2300" w:type="dxa"/>
            <w:tcBorders>
              <w:top w:val="nil"/>
              <w:left w:val="single" w:sz="8" w:space="0" w:color="auto"/>
              <w:bottom w:val="nil"/>
              <w:right w:val="single" w:sz="8" w:space="0" w:color="auto"/>
            </w:tcBorders>
            <w:noWrap/>
            <w:vAlign w:val="bottom"/>
            <w:hideMark/>
          </w:tcPr>
          <w:p w14:paraId="2B161DAE"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 </w:t>
            </w:r>
          </w:p>
        </w:tc>
        <w:tc>
          <w:tcPr>
            <w:tcW w:w="1340" w:type="dxa"/>
            <w:tcBorders>
              <w:top w:val="nil"/>
              <w:left w:val="nil"/>
              <w:bottom w:val="single" w:sz="4" w:space="0" w:color="auto"/>
              <w:right w:val="single" w:sz="4" w:space="0" w:color="auto"/>
            </w:tcBorders>
            <w:noWrap/>
            <w:vAlign w:val="bottom"/>
            <w:hideMark/>
          </w:tcPr>
          <w:p w14:paraId="0A7D7874"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50–69%</w:t>
            </w:r>
          </w:p>
        </w:tc>
        <w:tc>
          <w:tcPr>
            <w:tcW w:w="1020" w:type="dxa"/>
            <w:tcBorders>
              <w:top w:val="nil"/>
              <w:left w:val="single" w:sz="4" w:space="0" w:color="auto"/>
              <w:bottom w:val="single" w:sz="4" w:space="0" w:color="auto"/>
              <w:right w:val="single" w:sz="4" w:space="0" w:color="auto"/>
            </w:tcBorders>
            <w:noWrap/>
            <w:vAlign w:val="center"/>
            <w:hideMark/>
          </w:tcPr>
          <w:p w14:paraId="0A829E42"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23</w:t>
            </w:r>
          </w:p>
        </w:tc>
        <w:tc>
          <w:tcPr>
            <w:tcW w:w="1760" w:type="dxa"/>
            <w:tcBorders>
              <w:top w:val="single" w:sz="4" w:space="0" w:color="auto"/>
              <w:left w:val="single" w:sz="4" w:space="0" w:color="auto"/>
              <w:bottom w:val="single" w:sz="4" w:space="0" w:color="auto"/>
              <w:right w:val="single" w:sz="8" w:space="0" w:color="auto"/>
            </w:tcBorders>
            <w:noWrap/>
            <w:vAlign w:val="center"/>
            <w:hideMark/>
          </w:tcPr>
          <w:p w14:paraId="4FFE1295"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39,7%</w:t>
            </w:r>
          </w:p>
        </w:tc>
      </w:tr>
      <w:tr w:rsidR="00E60603" w:rsidRPr="00E60603" w14:paraId="683B87E9" w14:textId="77777777" w:rsidTr="00132B2B">
        <w:trPr>
          <w:trHeight w:val="20"/>
          <w:jc w:val="center"/>
        </w:trPr>
        <w:tc>
          <w:tcPr>
            <w:tcW w:w="2300" w:type="dxa"/>
            <w:tcBorders>
              <w:top w:val="nil"/>
              <w:left w:val="single" w:sz="8" w:space="0" w:color="auto"/>
              <w:bottom w:val="single" w:sz="8" w:space="0" w:color="auto"/>
              <w:right w:val="single" w:sz="8" w:space="0" w:color="auto"/>
            </w:tcBorders>
            <w:noWrap/>
            <w:vAlign w:val="bottom"/>
            <w:hideMark/>
          </w:tcPr>
          <w:p w14:paraId="7F7BD61E"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 </w:t>
            </w:r>
          </w:p>
        </w:tc>
        <w:tc>
          <w:tcPr>
            <w:tcW w:w="1340" w:type="dxa"/>
            <w:tcBorders>
              <w:top w:val="nil"/>
              <w:left w:val="nil"/>
              <w:bottom w:val="single" w:sz="8" w:space="0" w:color="auto"/>
              <w:right w:val="single" w:sz="4" w:space="0" w:color="auto"/>
            </w:tcBorders>
            <w:noWrap/>
            <w:vAlign w:val="bottom"/>
            <w:hideMark/>
          </w:tcPr>
          <w:p w14:paraId="4CD2280C"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70–99%</w:t>
            </w:r>
          </w:p>
        </w:tc>
        <w:tc>
          <w:tcPr>
            <w:tcW w:w="1020" w:type="dxa"/>
            <w:tcBorders>
              <w:top w:val="nil"/>
              <w:left w:val="single" w:sz="4" w:space="0" w:color="auto"/>
              <w:bottom w:val="single" w:sz="8" w:space="0" w:color="auto"/>
              <w:right w:val="single" w:sz="4" w:space="0" w:color="auto"/>
            </w:tcBorders>
            <w:noWrap/>
            <w:vAlign w:val="center"/>
            <w:hideMark/>
          </w:tcPr>
          <w:p w14:paraId="3557249C"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6</w:t>
            </w:r>
          </w:p>
        </w:tc>
        <w:tc>
          <w:tcPr>
            <w:tcW w:w="1760" w:type="dxa"/>
            <w:tcBorders>
              <w:top w:val="nil"/>
              <w:left w:val="single" w:sz="4" w:space="0" w:color="auto"/>
              <w:bottom w:val="single" w:sz="8" w:space="0" w:color="auto"/>
              <w:right w:val="single" w:sz="8" w:space="0" w:color="auto"/>
            </w:tcBorders>
            <w:noWrap/>
            <w:vAlign w:val="center"/>
            <w:hideMark/>
          </w:tcPr>
          <w:p w14:paraId="6B243CC0"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10,3%</w:t>
            </w:r>
          </w:p>
        </w:tc>
      </w:tr>
      <w:tr w:rsidR="00E60603" w:rsidRPr="00E60603" w14:paraId="64A315CD" w14:textId="77777777" w:rsidTr="00132B2B">
        <w:trPr>
          <w:trHeight w:val="20"/>
          <w:jc w:val="center"/>
        </w:trPr>
        <w:tc>
          <w:tcPr>
            <w:tcW w:w="2300" w:type="dxa"/>
            <w:tcBorders>
              <w:top w:val="nil"/>
              <w:left w:val="single" w:sz="8" w:space="0" w:color="auto"/>
              <w:bottom w:val="nil"/>
              <w:right w:val="single" w:sz="8" w:space="0" w:color="auto"/>
            </w:tcBorders>
            <w:noWrap/>
            <w:vAlign w:val="bottom"/>
            <w:hideMark/>
          </w:tcPr>
          <w:p w14:paraId="4ED9E0B7"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14:ligatures w14:val="standardContextual"/>
              </w:rPr>
              <w:t>3 Group</w:t>
            </w:r>
            <w:r w:rsidRPr="00E60603">
              <w:rPr>
                <w:rFonts w:asciiTheme="majorBidi" w:eastAsia="Calibri" w:hAnsiTheme="majorBidi" w:cstheme="majorBidi"/>
                <w:kern w:val="2"/>
                <w:sz w:val="20"/>
                <w:szCs w:val="20"/>
                <w:lang w:val="ru-RU"/>
                <w14:ligatures w14:val="standardContextual"/>
              </w:rPr>
              <w:t xml:space="preserve"> (n=29)</w:t>
            </w:r>
          </w:p>
        </w:tc>
        <w:tc>
          <w:tcPr>
            <w:tcW w:w="1340" w:type="dxa"/>
            <w:tcBorders>
              <w:top w:val="nil"/>
              <w:left w:val="nil"/>
              <w:bottom w:val="single" w:sz="4" w:space="0" w:color="auto"/>
              <w:right w:val="single" w:sz="4" w:space="0" w:color="auto"/>
            </w:tcBorders>
            <w:noWrap/>
            <w:vAlign w:val="bottom"/>
            <w:hideMark/>
          </w:tcPr>
          <w:p w14:paraId="178EBBFA"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&lt;50%</w:t>
            </w:r>
          </w:p>
        </w:tc>
        <w:tc>
          <w:tcPr>
            <w:tcW w:w="1020" w:type="dxa"/>
            <w:tcBorders>
              <w:top w:val="nil"/>
              <w:left w:val="nil"/>
              <w:bottom w:val="single" w:sz="4" w:space="0" w:color="auto"/>
              <w:right w:val="single" w:sz="4" w:space="0" w:color="auto"/>
            </w:tcBorders>
            <w:noWrap/>
            <w:vAlign w:val="center"/>
            <w:hideMark/>
          </w:tcPr>
          <w:p w14:paraId="59CE2416"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10</w:t>
            </w:r>
          </w:p>
        </w:tc>
        <w:tc>
          <w:tcPr>
            <w:tcW w:w="1760" w:type="dxa"/>
            <w:tcBorders>
              <w:top w:val="nil"/>
              <w:left w:val="single" w:sz="4" w:space="0" w:color="auto"/>
              <w:bottom w:val="single" w:sz="4" w:space="0" w:color="auto"/>
              <w:right w:val="single" w:sz="8" w:space="0" w:color="auto"/>
            </w:tcBorders>
            <w:noWrap/>
            <w:vAlign w:val="center"/>
            <w:hideMark/>
          </w:tcPr>
          <w:p w14:paraId="544B37A8"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34,5%</w:t>
            </w:r>
          </w:p>
        </w:tc>
      </w:tr>
      <w:tr w:rsidR="00E60603" w:rsidRPr="00E60603" w14:paraId="5C77F991" w14:textId="77777777" w:rsidTr="00132B2B">
        <w:trPr>
          <w:trHeight w:val="20"/>
          <w:jc w:val="center"/>
        </w:trPr>
        <w:tc>
          <w:tcPr>
            <w:tcW w:w="2300" w:type="dxa"/>
            <w:tcBorders>
              <w:top w:val="nil"/>
              <w:left w:val="single" w:sz="8" w:space="0" w:color="auto"/>
              <w:bottom w:val="nil"/>
              <w:right w:val="single" w:sz="8" w:space="0" w:color="auto"/>
            </w:tcBorders>
            <w:noWrap/>
            <w:vAlign w:val="bottom"/>
            <w:hideMark/>
          </w:tcPr>
          <w:p w14:paraId="5F883748"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 </w:t>
            </w:r>
          </w:p>
        </w:tc>
        <w:tc>
          <w:tcPr>
            <w:tcW w:w="1340" w:type="dxa"/>
            <w:tcBorders>
              <w:top w:val="nil"/>
              <w:left w:val="nil"/>
              <w:bottom w:val="single" w:sz="4" w:space="0" w:color="auto"/>
              <w:right w:val="single" w:sz="4" w:space="0" w:color="auto"/>
            </w:tcBorders>
            <w:noWrap/>
            <w:vAlign w:val="bottom"/>
            <w:hideMark/>
          </w:tcPr>
          <w:p w14:paraId="07BDAEE2"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50–69%</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12EAD2E5"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15</w:t>
            </w:r>
          </w:p>
        </w:tc>
        <w:tc>
          <w:tcPr>
            <w:tcW w:w="1760" w:type="dxa"/>
            <w:tcBorders>
              <w:top w:val="single" w:sz="4" w:space="0" w:color="auto"/>
              <w:left w:val="single" w:sz="4" w:space="0" w:color="auto"/>
              <w:bottom w:val="single" w:sz="4" w:space="0" w:color="auto"/>
              <w:right w:val="single" w:sz="8" w:space="0" w:color="auto"/>
            </w:tcBorders>
            <w:noWrap/>
            <w:vAlign w:val="center"/>
            <w:hideMark/>
          </w:tcPr>
          <w:p w14:paraId="55A956E9"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51,7%</w:t>
            </w:r>
          </w:p>
        </w:tc>
      </w:tr>
      <w:tr w:rsidR="00E60603" w:rsidRPr="00E60603" w14:paraId="227AB03C" w14:textId="77777777" w:rsidTr="00132B2B">
        <w:trPr>
          <w:trHeight w:val="20"/>
          <w:jc w:val="center"/>
        </w:trPr>
        <w:tc>
          <w:tcPr>
            <w:tcW w:w="2300" w:type="dxa"/>
            <w:tcBorders>
              <w:top w:val="nil"/>
              <w:left w:val="single" w:sz="8" w:space="0" w:color="auto"/>
              <w:bottom w:val="single" w:sz="8" w:space="0" w:color="auto"/>
              <w:right w:val="single" w:sz="8" w:space="0" w:color="auto"/>
            </w:tcBorders>
            <w:noWrap/>
            <w:vAlign w:val="bottom"/>
            <w:hideMark/>
          </w:tcPr>
          <w:p w14:paraId="01AE101D"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 </w:t>
            </w:r>
          </w:p>
        </w:tc>
        <w:tc>
          <w:tcPr>
            <w:tcW w:w="1340" w:type="dxa"/>
            <w:tcBorders>
              <w:top w:val="nil"/>
              <w:left w:val="nil"/>
              <w:bottom w:val="single" w:sz="8" w:space="0" w:color="auto"/>
              <w:right w:val="single" w:sz="4" w:space="0" w:color="auto"/>
            </w:tcBorders>
            <w:noWrap/>
            <w:vAlign w:val="bottom"/>
            <w:hideMark/>
          </w:tcPr>
          <w:p w14:paraId="0DACD33F"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70–99%</w:t>
            </w:r>
          </w:p>
        </w:tc>
        <w:tc>
          <w:tcPr>
            <w:tcW w:w="1020" w:type="dxa"/>
            <w:tcBorders>
              <w:top w:val="nil"/>
              <w:left w:val="single" w:sz="4" w:space="0" w:color="auto"/>
              <w:bottom w:val="single" w:sz="8" w:space="0" w:color="auto"/>
              <w:right w:val="single" w:sz="4" w:space="0" w:color="auto"/>
            </w:tcBorders>
            <w:noWrap/>
            <w:vAlign w:val="center"/>
            <w:hideMark/>
          </w:tcPr>
          <w:p w14:paraId="3A30DFE5"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4</w:t>
            </w:r>
          </w:p>
        </w:tc>
        <w:tc>
          <w:tcPr>
            <w:tcW w:w="1760" w:type="dxa"/>
            <w:tcBorders>
              <w:top w:val="nil"/>
              <w:left w:val="single" w:sz="4" w:space="0" w:color="auto"/>
              <w:bottom w:val="single" w:sz="8" w:space="0" w:color="auto"/>
              <w:right w:val="single" w:sz="8" w:space="0" w:color="auto"/>
            </w:tcBorders>
            <w:noWrap/>
            <w:vAlign w:val="center"/>
            <w:hideMark/>
          </w:tcPr>
          <w:p w14:paraId="000A3407"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13,8%</w:t>
            </w:r>
          </w:p>
        </w:tc>
      </w:tr>
    </w:tbl>
    <w:p w14:paraId="0B1EB805"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p>
    <w:p w14:paraId="34864AEB"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Group I (n=41). The largest proportion of patients had stenosis &lt;50%—24 (58.5%), indicating the prevalence of moderate atherosclerotic lesions. Moderate stenosis (50–69%) was observed in 36.6%, while hemodynamically significant stenosis (70–99%) occurred in only 4.9% of cases. This group was characterized by the least severe stenotic changes, corresponding to the early stages of the disease.</w:t>
      </w:r>
    </w:p>
    <w:p w14:paraId="1EF4EE91"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Group II (n=58). Stenosis &lt;50% was present in 50% of patients, indicating a lower proportion of m Group III (n=29). The proportion of patients with stenosis &lt;50% was the lowest among all groups—34.5%, while the proportion of moderate stenosis cases was 51.7%. Hemodynamically significant stenosis (70–99%) occurred in 13.8% of cases, almost three times higher than in Group I. This trend suggests that combined ICA and VA lesions are associated with the most pronounced progression of stenotic changes, including involvement of the posterior circulation.</w:t>
      </w:r>
    </w:p>
    <w:p w14:paraId="3570F84F"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As the clinical presentation increases in severity (from Group I to Group III), the degree of arterial stenosis increases, particularly in the 70–99% range, confirming the progression of the atherosclerotic process. Patients in Group III are significantly more likely to have hemodynamically significant stenoses, making them the most vulnerable to the development of ischemic stroke. The data obtained confirm the need for early identification and active monitoring of patients with moderate stenosis, as they constitute a transitional group at risk of progressing to severe disease. Stenosis greater than 50% was detected in the majority of patients in groups II and III, which may warrant consideration of a more in-depth vascular examination (including duplex scanning and CT angiography) and treatment </w:t>
      </w:r>
      <w:proofErr w:type="spellStart"/>
      <w:r w:rsidRPr="00F264E3">
        <w:rPr>
          <w:rFonts w:asciiTheme="majorBidi" w:eastAsia="Calibri" w:hAnsiTheme="majorBidi" w:cstheme="majorBidi"/>
          <w:kern w:val="2"/>
          <w:sz w:val="20"/>
          <w:szCs w:val="20"/>
          <w14:ligatures w14:val="standardContextual"/>
        </w:rPr>
        <w:t>adjustments.ild</w:t>
      </w:r>
      <w:proofErr w:type="spellEnd"/>
      <w:r w:rsidRPr="00F264E3">
        <w:rPr>
          <w:rFonts w:asciiTheme="majorBidi" w:eastAsia="Calibri" w:hAnsiTheme="majorBidi" w:cstheme="majorBidi"/>
          <w:kern w:val="2"/>
          <w:sz w:val="20"/>
          <w:szCs w:val="20"/>
          <w14:ligatures w14:val="standardContextual"/>
        </w:rPr>
        <w:t xml:space="preserve"> changes compared to Group I. Moderate stenosis was detected in 39.7%, while hemodynamically significant stenosis occurred in 10.3% of patients. This confirms that bilateral lesions are associated with a higher severity of vascular pathology, including an increased incidence of severe forms.</w:t>
      </w:r>
    </w:p>
    <w:p w14:paraId="49F2BB0D"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In clinical studies, atherosclerotic plaque morphology is typically assessed using modern imaging techniques, primarily high-resolution duplex ultrasound, and, when necessary, CT angiography, MR angiography, or intravascular techniques. Your work likely involved ultrasound diagnostics, as it is a standard and accessible method for routinely assessing ICA stenosis.</w:t>
      </w:r>
    </w:p>
    <w:p w14:paraId="7FFEBF14"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We used brachiocephalic duplex ultrasound examinations on expert-class ultrasound machines with 7-12 MHz linear transducers. Plaque morphology was described using the Gray-Weale (1988) or Nicolaides (2005) classifications: Type I: homogeneous hypoechoic, Type II: heterogeneous with predominantly hypoechoic areas, Type III: heterogeneous with predominantly hyperechoic areas, Type IV: homogeneous hyperechoic.</w:t>
      </w:r>
    </w:p>
    <w:p w14:paraId="6AF56EE7"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Atherosclerotic plaque morphology plays a key role in the pathogenesis of ischemic stroke. Unstable, ulcerative, lipid-saturated, and calcified plaques have varying degrees of thrombogenicity and prognostic significance. The conducted analysis allows us to assess the prevalence of various plaque morphological types in patients with unilateral, bilateral, and combined stenosis of the internal carotid artery (ICA), as well as in a group without significant stenosis.</w:t>
      </w:r>
    </w:p>
    <w:p w14:paraId="64AC91DF"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Unstable plaques. The lowest incidence was found in patients without significant stenosis—20.5%. In patients with unilateral ICA stenosis, the incidence was 42.1%. Significantly higher incidence was observed in patients with bilateral ICA stenosis (49.7%) and especially in patients with combined ICA and VA stenosis (53.6%). These differences were statistically significant when compared with Group 1 (p = 0.023 and p = 0.008) and especially with the group without stenosis (p &lt; 0.001). This indicates progressive destabilization of atheromatous lesions with increasing vascular lesion severity.</w:t>
      </w:r>
    </w:p>
    <w:p w14:paraId="2DF933BA" w14:textId="16322677" w:rsidR="00E60603" w:rsidRDefault="00F264E3" w:rsidP="00E6060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Ulcerative plaques. The incidence of ulcerative plaques increased from 12.7% in the control group to 28.4% in patients with unilateral stenosis and 36.9% in patients with combined lesions. Significant differences were found between all groups (p &lt; 0.05), confirming the clinical significance of this parameter as a potential marker of instability and embolic potential.</w:t>
      </w:r>
    </w:p>
    <w:p w14:paraId="5D1CE4D4" w14:textId="23719C0B" w:rsidR="00E60603" w:rsidRPr="00E60603" w:rsidRDefault="00E60603" w:rsidP="00E60603">
      <w:pPr>
        <w:widowControl/>
        <w:autoSpaceDE/>
        <w:autoSpaceDN/>
        <w:spacing w:before="240"/>
        <w:jc w:val="center"/>
        <w:rPr>
          <w:rFonts w:asciiTheme="majorBidi" w:eastAsia="Calibri" w:hAnsiTheme="majorBidi" w:cstheme="majorBidi"/>
          <w:b/>
          <w:bCs/>
          <w:kern w:val="2"/>
          <w:sz w:val="20"/>
          <w:szCs w:val="20"/>
          <w14:ligatures w14:val="standardContextual"/>
        </w:rPr>
      </w:pPr>
      <w:r w:rsidRPr="00E60603">
        <w:rPr>
          <w:rFonts w:asciiTheme="majorBidi" w:eastAsia="Calibri" w:hAnsiTheme="majorBidi" w:cstheme="majorBidi"/>
          <w:b/>
          <w:bCs/>
          <w:kern w:val="2"/>
          <w:sz w:val="20"/>
          <w:szCs w:val="20"/>
          <w14:ligatures w14:val="standardContextual"/>
        </w:rPr>
        <w:t>Table 4. Morphological characteristics of plaques in patients with different types of ICA stenosis</w:t>
      </w:r>
    </w:p>
    <w:tbl>
      <w:tblPr>
        <w:tblW w:w="8980" w:type="dxa"/>
        <w:tblLook w:val="04A0" w:firstRow="1" w:lastRow="0" w:firstColumn="1" w:lastColumn="0" w:noHBand="0" w:noVBand="1"/>
      </w:tblPr>
      <w:tblGrid>
        <w:gridCol w:w="2280"/>
        <w:gridCol w:w="1240"/>
        <w:gridCol w:w="1400"/>
        <w:gridCol w:w="1180"/>
        <w:gridCol w:w="960"/>
        <w:gridCol w:w="960"/>
        <w:gridCol w:w="960"/>
      </w:tblGrid>
      <w:tr w:rsidR="00E60603" w:rsidRPr="00E60603" w14:paraId="47C6DBF4" w14:textId="77777777" w:rsidTr="00132B2B">
        <w:trPr>
          <w:trHeight w:val="20"/>
        </w:trPr>
        <w:tc>
          <w:tcPr>
            <w:tcW w:w="2280" w:type="dxa"/>
            <w:tcBorders>
              <w:top w:val="single" w:sz="8" w:space="0" w:color="auto"/>
              <w:left w:val="single" w:sz="8" w:space="0" w:color="auto"/>
              <w:bottom w:val="nil"/>
              <w:right w:val="single" w:sz="8" w:space="0" w:color="auto"/>
            </w:tcBorders>
            <w:vAlign w:val="center"/>
            <w:hideMark/>
          </w:tcPr>
          <w:p w14:paraId="3883751A"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14:ligatures w14:val="standardContextual"/>
              </w:rPr>
            </w:pPr>
            <w:r w:rsidRPr="00E60603">
              <w:rPr>
                <w:rFonts w:asciiTheme="majorBidi" w:eastAsia="Calibri" w:hAnsiTheme="majorBidi" w:cstheme="majorBidi"/>
                <w:b/>
                <w:bCs/>
                <w:kern w:val="2"/>
                <w:sz w:val="20"/>
                <w:szCs w:val="20"/>
                <w14:ligatures w14:val="standardContextual"/>
              </w:rPr>
              <w:t>Category</w:t>
            </w:r>
          </w:p>
        </w:tc>
        <w:tc>
          <w:tcPr>
            <w:tcW w:w="1240" w:type="dxa"/>
            <w:tcBorders>
              <w:top w:val="single" w:sz="8" w:space="0" w:color="auto"/>
              <w:left w:val="nil"/>
              <w:bottom w:val="nil"/>
              <w:right w:val="single" w:sz="4" w:space="0" w:color="auto"/>
            </w:tcBorders>
            <w:vAlign w:val="center"/>
            <w:hideMark/>
          </w:tcPr>
          <w:p w14:paraId="2630495A"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14:ligatures w14:val="standardContextual"/>
              </w:rPr>
            </w:pPr>
            <w:r w:rsidRPr="00E60603">
              <w:rPr>
                <w:rFonts w:asciiTheme="majorBidi" w:eastAsia="Calibri" w:hAnsiTheme="majorBidi" w:cstheme="majorBidi"/>
                <w:b/>
                <w:bCs/>
                <w:kern w:val="2"/>
                <w:sz w:val="20"/>
                <w:szCs w:val="20"/>
                <w14:ligatures w14:val="standardContextual"/>
              </w:rPr>
              <w:t>Group</w:t>
            </w:r>
          </w:p>
        </w:tc>
        <w:tc>
          <w:tcPr>
            <w:tcW w:w="1400" w:type="dxa"/>
            <w:tcBorders>
              <w:top w:val="single" w:sz="8" w:space="0" w:color="auto"/>
              <w:left w:val="single" w:sz="4" w:space="0" w:color="auto"/>
              <w:bottom w:val="nil"/>
              <w:right w:val="single" w:sz="4" w:space="0" w:color="auto"/>
            </w:tcBorders>
            <w:vAlign w:val="center"/>
            <w:hideMark/>
          </w:tcPr>
          <w:p w14:paraId="257AD28B"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14:ligatures w14:val="standardContextual"/>
              </w:rPr>
            </w:pPr>
            <w:r w:rsidRPr="00E60603">
              <w:rPr>
                <w:rFonts w:asciiTheme="majorBidi" w:eastAsia="Calibri" w:hAnsiTheme="majorBidi" w:cstheme="majorBidi"/>
                <w:b/>
                <w:bCs/>
                <w:kern w:val="2"/>
                <w:sz w:val="20"/>
                <w:szCs w:val="20"/>
                <w14:ligatures w14:val="standardContextual"/>
              </w:rPr>
              <w:t>Group 2</w:t>
            </w:r>
          </w:p>
        </w:tc>
        <w:tc>
          <w:tcPr>
            <w:tcW w:w="1180" w:type="dxa"/>
            <w:tcBorders>
              <w:top w:val="single" w:sz="8" w:space="0" w:color="auto"/>
              <w:left w:val="nil"/>
              <w:bottom w:val="nil"/>
              <w:right w:val="nil"/>
            </w:tcBorders>
            <w:vAlign w:val="center"/>
            <w:hideMark/>
          </w:tcPr>
          <w:p w14:paraId="73EBF7F5"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14:ligatures w14:val="standardContextual"/>
              </w:rPr>
            </w:pPr>
            <w:r w:rsidRPr="00E60603">
              <w:rPr>
                <w:rFonts w:asciiTheme="majorBidi" w:eastAsia="Calibri" w:hAnsiTheme="majorBidi" w:cstheme="majorBidi"/>
                <w:b/>
                <w:bCs/>
                <w:kern w:val="2"/>
                <w:sz w:val="20"/>
                <w:szCs w:val="20"/>
                <w14:ligatures w14:val="standardContextual"/>
              </w:rPr>
              <w:t>Group 3</w:t>
            </w:r>
          </w:p>
        </w:tc>
        <w:tc>
          <w:tcPr>
            <w:tcW w:w="960" w:type="dxa"/>
            <w:tcBorders>
              <w:top w:val="single" w:sz="8" w:space="0" w:color="auto"/>
              <w:left w:val="single" w:sz="8" w:space="0" w:color="auto"/>
              <w:bottom w:val="single" w:sz="8" w:space="0" w:color="auto"/>
              <w:right w:val="single" w:sz="4" w:space="0" w:color="auto"/>
            </w:tcBorders>
            <w:vAlign w:val="center"/>
            <w:hideMark/>
          </w:tcPr>
          <w:p w14:paraId="3E946D90"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lang w:val="ru-RU"/>
                <w14:ligatures w14:val="standardContextual"/>
              </w:rPr>
            </w:pPr>
            <w:r w:rsidRPr="00E60603">
              <w:rPr>
                <w:rFonts w:asciiTheme="majorBidi" w:eastAsia="Calibri" w:hAnsiTheme="majorBidi" w:cstheme="majorBidi"/>
                <w:b/>
                <w:bCs/>
                <w:kern w:val="2"/>
                <w:sz w:val="20"/>
                <w:szCs w:val="20"/>
                <w:lang w:val="ru-RU"/>
                <w14:ligatures w14:val="standardContextual"/>
              </w:rPr>
              <w:t>p (I–II)</w:t>
            </w:r>
          </w:p>
        </w:tc>
        <w:tc>
          <w:tcPr>
            <w:tcW w:w="960" w:type="dxa"/>
            <w:tcBorders>
              <w:top w:val="single" w:sz="8" w:space="0" w:color="auto"/>
              <w:left w:val="single" w:sz="4" w:space="0" w:color="auto"/>
              <w:bottom w:val="single" w:sz="8" w:space="0" w:color="auto"/>
              <w:right w:val="single" w:sz="4" w:space="0" w:color="auto"/>
            </w:tcBorders>
            <w:vAlign w:val="center"/>
            <w:hideMark/>
          </w:tcPr>
          <w:p w14:paraId="5F3BF504"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lang w:val="ru-RU"/>
                <w14:ligatures w14:val="standardContextual"/>
              </w:rPr>
            </w:pPr>
            <w:r w:rsidRPr="00E60603">
              <w:rPr>
                <w:rFonts w:asciiTheme="majorBidi" w:eastAsia="Calibri" w:hAnsiTheme="majorBidi" w:cstheme="majorBidi"/>
                <w:b/>
                <w:bCs/>
                <w:kern w:val="2"/>
                <w:sz w:val="20"/>
                <w:szCs w:val="20"/>
                <w:lang w:val="ru-RU"/>
                <w14:ligatures w14:val="standardContextual"/>
              </w:rPr>
              <w:t>p (I–III)</w:t>
            </w:r>
          </w:p>
        </w:tc>
        <w:tc>
          <w:tcPr>
            <w:tcW w:w="960" w:type="dxa"/>
            <w:tcBorders>
              <w:top w:val="single" w:sz="8" w:space="0" w:color="auto"/>
              <w:left w:val="nil"/>
              <w:bottom w:val="single" w:sz="8" w:space="0" w:color="auto"/>
              <w:right w:val="single" w:sz="8" w:space="0" w:color="auto"/>
            </w:tcBorders>
            <w:vAlign w:val="center"/>
            <w:hideMark/>
          </w:tcPr>
          <w:p w14:paraId="1A339424" w14:textId="77777777" w:rsidR="00E60603" w:rsidRPr="00E60603" w:rsidRDefault="00E60603" w:rsidP="00132B2B">
            <w:pPr>
              <w:widowControl/>
              <w:autoSpaceDE/>
              <w:autoSpaceDN/>
              <w:jc w:val="both"/>
              <w:rPr>
                <w:rFonts w:asciiTheme="majorBidi" w:eastAsia="Calibri" w:hAnsiTheme="majorBidi" w:cstheme="majorBidi"/>
                <w:b/>
                <w:bCs/>
                <w:kern w:val="2"/>
                <w:sz w:val="20"/>
                <w:szCs w:val="20"/>
                <w:lang w:val="ru-RU"/>
                <w14:ligatures w14:val="standardContextual"/>
              </w:rPr>
            </w:pPr>
            <w:r w:rsidRPr="00E60603">
              <w:rPr>
                <w:rFonts w:asciiTheme="majorBidi" w:eastAsia="Calibri" w:hAnsiTheme="majorBidi" w:cstheme="majorBidi"/>
                <w:b/>
                <w:bCs/>
                <w:kern w:val="2"/>
                <w:sz w:val="20"/>
                <w:szCs w:val="20"/>
                <w:lang w:val="ru-RU"/>
                <w14:ligatures w14:val="standardContextual"/>
              </w:rPr>
              <w:t>p (II–III)</w:t>
            </w:r>
          </w:p>
        </w:tc>
      </w:tr>
      <w:tr w:rsidR="00E60603" w:rsidRPr="00E60603" w14:paraId="7BF66B8C" w14:textId="77777777" w:rsidTr="00132B2B">
        <w:trPr>
          <w:trHeight w:val="20"/>
        </w:trPr>
        <w:tc>
          <w:tcPr>
            <w:tcW w:w="2280" w:type="dxa"/>
            <w:tcBorders>
              <w:top w:val="single" w:sz="8" w:space="0" w:color="auto"/>
              <w:left w:val="single" w:sz="8" w:space="0" w:color="auto"/>
              <w:bottom w:val="single" w:sz="4" w:space="0" w:color="auto"/>
              <w:right w:val="single" w:sz="8" w:space="0" w:color="auto"/>
            </w:tcBorders>
            <w:vAlign w:val="center"/>
            <w:hideMark/>
          </w:tcPr>
          <w:p w14:paraId="32F1064B"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Unstable plaques (%)</w:t>
            </w:r>
          </w:p>
        </w:tc>
        <w:tc>
          <w:tcPr>
            <w:tcW w:w="1240" w:type="dxa"/>
            <w:tcBorders>
              <w:top w:val="single" w:sz="8" w:space="0" w:color="auto"/>
              <w:left w:val="nil"/>
              <w:bottom w:val="single" w:sz="4" w:space="0" w:color="auto"/>
              <w:right w:val="single" w:sz="4" w:space="0" w:color="auto"/>
            </w:tcBorders>
            <w:vAlign w:val="center"/>
            <w:hideMark/>
          </w:tcPr>
          <w:p w14:paraId="638B3F3D"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42,1 [38,6–45,6]</w:t>
            </w:r>
          </w:p>
        </w:tc>
        <w:tc>
          <w:tcPr>
            <w:tcW w:w="1400" w:type="dxa"/>
            <w:tcBorders>
              <w:top w:val="single" w:sz="8" w:space="0" w:color="auto"/>
              <w:left w:val="single" w:sz="4" w:space="0" w:color="auto"/>
              <w:bottom w:val="single" w:sz="4" w:space="0" w:color="auto"/>
              <w:right w:val="single" w:sz="4" w:space="0" w:color="auto"/>
            </w:tcBorders>
            <w:vAlign w:val="center"/>
            <w:hideMark/>
          </w:tcPr>
          <w:p w14:paraId="7005F8C0"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49,7 [45,9–53,5]</w:t>
            </w:r>
          </w:p>
        </w:tc>
        <w:tc>
          <w:tcPr>
            <w:tcW w:w="1180" w:type="dxa"/>
            <w:tcBorders>
              <w:top w:val="single" w:sz="8" w:space="0" w:color="auto"/>
              <w:left w:val="nil"/>
              <w:bottom w:val="single" w:sz="4" w:space="0" w:color="auto"/>
              <w:right w:val="nil"/>
            </w:tcBorders>
            <w:vAlign w:val="center"/>
            <w:hideMark/>
          </w:tcPr>
          <w:p w14:paraId="3024C5AD"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20,5 [17,3–23,7]</w:t>
            </w:r>
          </w:p>
        </w:tc>
        <w:tc>
          <w:tcPr>
            <w:tcW w:w="960" w:type="dxa"/>
            <w:tcBorders>
              <w:top w:val="nil"/>
              <w:left w:val="single" w:sz="8" w:space="0" w:color="auto"/>
              <w:bottom w:val="single" w:sz="4" w:space="0" w:color="auto"/>
              <w:right w:val="single" w:sz="4" w:space="0" w:color="auto"/>
            </w:tcBorders>
            <w:vAlign w:val="center"/>
            <w:hideMark/>
          </w:tcPr>
          <w:p w14:paraId="0DC0554B"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w:t>
            </w:r>
          </w:p>
        </w:tc>
        <w:tc>
          <w:tcPr>
            <w:tcW w:w="960" w:type="dxa"/>
            <w:tcBorders>
              <w:top w:val="nil"/>
              <w:left w:val="single" w:sz="4" w:space="0" w:color="auto"/>
              <w:bottom w:val="single" w:sz="4" w:space="0" w:color="auto"/>
              <w:right w:val="single" w:sz="4" w:space="0" w:color="auto"/>
            </w:tcBorders>
            <w:vAlign w:val="center"/>
            <w:hideMark/>
          </w:tcPr>
          <w:p w14:paraId="2694D0C0"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0,023</w:t>
            </w:r>
          </w:p>
        </w:tc>
        <w:tc>
          <w:tcPr>
            <w:tcW w:w="960" w:type="dxa"/>
            <w:tcBorders>
              <w:top w:val="nil"/>
              <w:left w:val="single" w:sz="4" w:space="0" w:color="auto"/>
              <w:bottom w:val="single" w:sz="4" w:space="0" w:color="auto"/>
              <w:right w:val="single" w:sz="8" w:space="0" w:color="auto"/>
            </w:tcBorders>
            <w:vAlign w:val="center"/>
            <w:hideMark/>
          </w:tcPr>
          <w:p w14:paraId="36191990"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&lt;0,001</w:t>
            </w:r>
          </w:p>
        </w:tc>
      </w:tr>
      <w:tr w:rsidR="00E60603" w:rsidRPr="00E60603" w14:paraId="351125CB" w14:textId="77777777" w:rsidTr="00132B2B">
        <w:trPr>
          <w:trHeight w:val="20"/>
        </w:trPr>
        <w:tc>
          <w:tcPr>
            <w:tcW w:w="2280" w:type="dxa"/>
            <w:tcBorders>
              <w:top w:val="nil"/>
              <w:left w:val="single" w:sz="8" w:space="0" w:color="auto"/>
              <w:bottom w:val="single" w:sz="4" w:space="0" w:color="auto"/>
              <w:right w:val="single" w:sz="8" w:space="0" w:color="auto"/>
            </w:tcBorders>
            <w:vAlign w:val="center"/>
            <w:hideMark/>
          </w:tcPr>
          <w:p w14:paraId="3788C994"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Ulcerative plaques (%)</w:t>
            </w:r>
          </w:p>
        </w:tc>
        <w:tc>
          <w:tcPr>
            <w:tcW w:w="1240" w:type="dxa"/>
            <w:tcBorders>
              <w:top w:val="nil"/>
              <w:left w:val="nil"/>
              <w:bottom w:val="single" w:sz="4" w:space="0" w:color="auto"/>
              <w:right w:val="single" w:sz="4" w:space="0" w:color="auto"/>
            </w:tcBorders>
            <w:vAlign w:val="center"/>
            <w:hideMark/>
          </w:tcPr>
          <w:p w14:paraId="15AA0604"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28,4 [25,2–31,6]</w:t>
            </w:r>
          </w:p>
        </w:tc>
        <w:tc>
          <w:tcPr>
            <w:tcW w:w="1400" w:type="dxa"/>
            <w:tcBorders>
              <w:top w:val="nil"/>
              <w:left w:val="single" w:sz="4" w:space="0" w:color="auto"/>
              <w:bottom w:val="single" w:sz="4" w:space="0" w:color="auto"/>
              <w:right w:val="single" w:sz="4" w:space="0" w:color="auto"/>
            </w:tcBorders>
            <w:vAlign w:val="center"/>
            <w:hideMark/>
          </w:tcPr>
          <w:p w14:paraId="36B5735D"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34,2 [30,6–37,8]</w:t>
            </w:r>
          </w:p>
        </w:tc>
        <w:tc>
          <w:tcPr>
            <w:tcW w:w="1180" w:type="dxa"/>
            <w:tcBorders>
              <w:top w:val="single" w:sz="4" w:space="0" w:color="auto"/>
              <w:left w:val="single" w:sz="4" w:space="0" w:color="auto"/>
              <w:bottom w:val="single" w:sz="4" w:space="0" w:color="auto"/>
              <w:right w:val="nil"/>
            </w:tcBorders>
            <w:vAlign w:val="center"/>
            <w:hideMark/>
          </w:tcPr>
          <w:p w14:paraId="6A177B31"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12,7 [10,0–15,4]</w:t>
            </w:r>
          </w:p>
        </w:tc>
        <w:tc>
          <w:tcPr>
            <w:tcW w:w="960" w:type="dxa"/>
            <w:tcBorders>
              <w:top w:val="nil"/>
              <w:left w:val="single" w:sz="8" w:space="0" w:color="auto"/>
              <w:bottom w:val="single" w:sz="4" w:space="0" w:color="auto"/>
              <w:right w:val="single" w:sz="4" w:space="0" w:color="auto"/>
            </w:tcBorders>
            <w:vAlign w:val="center"/>
            <w:hideMark/>
          </w:tcPr>
          <w:p w14:paraId="21DE00C9"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w:t>
            </w:r>
          </w:p>
        </w:tc>
        <w:tc>
          <w:tcPr>
            <w:tcW w:w="960" w:type="dxa"/>
            <w:tcBorders>
              <w:top w:val="single" w:sz="4" w:space="0" w:color="auto"/>
              <w:left w:val="nil"/>
              <w:bottom w:val="single" w:sz="4" w:space="0" w:color="auto"/>
              <w:right w:val="single" w:sz="4" w:space="0" w:color="auto"/>
            </w:tcBorders>
            <w:vAlign w:val="center"/>
            <w:hideMark/>
          </w:tcPr>
          <w:p w14:paraId="5CD0EDC5"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0,031</w:t>
            </w:r>
          </w:p>
        </w:tc>
        <w:tc>
          <w:tcPr>
            <w:tcW w:w="960" w:type="dxa"/>
            <w:tcBorders>
              <w:top w:val="single" w:sz="4" w:space="0" w:color="auto"/>
              <w:left w:val="single" w:sz="4" w:space="0" w:color="auto"/>
              <w:bottom w:val="single" w:sz="4" w:space="0" w:color="auto"/>
              <w:right w:val="single" w:sz="8" w:space="0" w:color="auto"/>
            </w:tcBorders>
            <w:vAlign w:val="center"/>
            <w:hideMark/>
          </w:tcPr>
          <w:p w14:paraId="563E74BC"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&lt;0,001</w:t>
            </w:r>
          </w:p>
        </w:tc>
      </w:tr>
      <w:tr w:rsidR="00E60603" w:rsidRPr="00E60603" w14:paraId="5E2F68F5" w14:textId="77777777" w:rsidTr="00132B2B">
        <w:trPr>
          <w:trHeight w:val="20"/>
        </w:trPr>
        <w:tc>
          <w:tcPr>
            <w:tcW w:w="2280" w:type="dxa"/>
            <w:tcBorders>
              <w:top w:val="nil"/>
              <w:left w:val="single" w:sz="8" w:space="0" w:color="auto"/>
              <w:bottom w:val="single" w:sz="4" w:space="0" w:color="auto"/>
              <w:right w:val="single" w:sz="8" w:space="0" w:color="auto"/>
            </w:tcBorders>
            <w:vAlign w:val="center"/>
            <w:hideMark/>
          </w:tcPr>
          <w:p w14:paraId="6DE399E3"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Lipid core (%)</w:t>
            </w:r>
          </w:p>
        </w:tc>
        <w:tc>
          <w:tcPr>
            <w:tcW w:w="1240" w:type="dxa"/>
            <w:tcBorders>
              <w:top w:val="nil"/>
              <w:left w:val="nil"/>
              <w:bottom w:val="single" w:sz="4" w:space="0" w:color="auto"/>
              <w:right w:val="single" w:sz="4" w:space="0" w:color="auto"/>
            </w:tcBorders>
            <w:vAlign w:val="center"/>
            <w:hideMark/>
          </w:tcPr>
          <w:p w14:paraId="4F937BB2"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36,8 [33,3–40,3]</w:t>
            </w:r>
          </w:p>
        </w:tc>
        <w:tc>
          <w:tcPr>
            <w:tcW w:w="1400" w:type="dxa"/>
            <w:tcBorders>
              <w:top w:val="nil"/>
              <w:left w:val="single" w:sz="4" w:space="0" w:color="auto"/>
              <w:bottom w:val="single" w:sz="4" w:space="0" w:color="auto"/>
              <w:right w:val="single" w:sz="4" w:space="0" w:color="auto"/>
            </w:tcBorders>
            <w:vAlign w:val="center"/>
            <w:hideMark/>
          </w:tcPr>
          <w:p w14:paraId="67FD3A99"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42,9 [39,1–46,7]</w:t>
            </w:r>
          </w:p>
        </w:tc>
        <w:tc>
          <w:tcPr>
            <w:tcW w:w="1180" w:type="dxa"/>
            <w:tcBorders>
              <w:top w:val="nil"/>
              <w:left w:val="single" w:sz="4" w:space="0" w:color="auto"/>
              <w:bottom w:val="single" w:sz="4" w:space="0" w:color="auto"/>
              <w:right w:val="nil"/>
            </w:tcBorders>
            <w:vAlign w:val="center"/>
            <w:hideMark/>
          </w:tcPr>
          <w:p w14:paraId="78BDDEBD"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15,4 [12,6–18,2]</w:t>
            </w:r>
          </w:p>
        </w:tc>
        <w:tc>
          <w:tcPr>
            <w:tcW w:w="960" w:type="dxa"/>
            <w:tcBorders>
              <w:top w:val="nil"/>
              <w:left w:val="single" w:sz="8" w:space="0" w:color="auto"/>
              <w:bottom w:val="single" w:sz="4" w:space="0" w:color="auto"/>
              <w:right w:val="single" w:sz="4" w:space="0" w:color="auto"/>
            </w:tcBorders>
            <w:vAlign w:val="center"/>
            <w:hideMark/>
          </w:tcPr>
          <w:p w14:paraId="2716ECBA"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w:t>
            </w:r>
          </w:p>
        </w:tc>
        <w:tc>
          <w:tcPr>
            <w:tcW w:w="960" w:type="dxa"/>
            <w:tcBorders>
              <w:top w:val="nil"/>
              <w:left w:val="nil"/>
              <w:bottom w:val="single" w:sz="4" w:space="0" w:color="auto"/>
              <w:right w:val="single" w:sz="4" w:space="0" w:color="auto"/>
            </w:tcBorders>
            <w:vAlign w:val="center"/>
            <w:hideMark/>
          </w:tcPr>
          <w:p w14:paraId="35845CFC"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0,044</w:t>
            </w:r>
          </w:p>
        </w:tc>
        <w:tc>
          <w:tcPr>
            <w:tcW w:w="960" w:type="dxa"/>
            <w:tcBorders>
              <w:top w:val="nil"/>
              <w:left w:val="single" w:sz="4" w:space="0" w:color="auto"/>
              <w:bottom w:val="single" w:sz="4" w:space="0" w:color="auto"/>
              <w:right w:val="single" w:sz="8" w:space="0" w:color="auto"/>
            </w:tcBorders>
            <w:vAlign w:val="center"/>
            <w:hideMark/>
          </w:tcPr>
          <w:p w14:paraId="31EFF8FA"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&lt;0,001</w:t>
            </w:r>
          </w:p>
        </w:tc>
      </w:tr>
      <w:tr w:rsidR="00E60603" w:rsidRPr="00E60603" w14:paraId="56F17FFE" w14:textId="77777777" w:rsidTr="00132B2B">
        <w:trPr>
          <w:trHeight w:val="20"/>
        </w:trPr>
        <w:tc>
          <w:tcPr>
            <w:tcW w:w="2280" w:type="dxa"/>
            <w:tcBorders>
              <w:top w:val="nil"/>
              <w:left w:val="single" w:sz="8" w:space="0" w:color="auto"/>
              <w:bottom w:val="single" w:sz="8" w:space="0" w:color="auto"/>
              <w:right w:val="single" w:sz="8" w:space="0" w:color="auto"/>
            </w:tcBorders>
            <w:vAlign w:val="center"/>
            <w:hideMark/>
          </w:tcPr>
          <w:p w14:paraId="5BDA6C8C"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Calcifications (%)</w:t>
            </w:r>
          </w:p>
        </w:tc>
        <w:tc>
          <w:tcPr>
            <w:tcW w:w="1240" w:type="dxa"/>
            <w:tcBorders>
              <w:top w:val="nil"/>
              <w:left w:val="nil"/>
              <w:bottom w:val="single" w:sz="8" w:space="0" w:color="auto"/>
              <w:right w:val="single" w:sz="4" w:space="0" w:color="auto"/>
            </w:tcBorders>
            <w:vAlign w:val="center"/>
            <w:hideMark/>
          </w:tcPr>
          <w:p w14:paraId="65832620"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31,6 [28,3–34,9]</w:t>
            </w:r>
          </w:p>
        </w:tc>
        <w:tc>
          <w:tcPr>
            <w:tcW w:w="1400" w:type="dxa"/>
            <w:tcBorders>
              <w:top w:val="nil"/>
              <w:left w:val="single" w:sz="4" w:space="0" w:color="auto"/>
              <w:bottom w:val="single" w:sz="8" w:space="0" w:color="auto"/>
              <w:right w:val="single" w:sz="4" w:space="0" w:color="auto"/>
            </w:tcBorders>
            <w:vAlign w:val="center"/>
            <w:hideMark/>
          </w:tcPr>
          <w:p w14:paraId="735A8FB6"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33,8 [30,2–37,4]</w:t>
            </w:r>
          </w:p>
        </w:tc>
        <w:tc>
          <w:tcPr>
            <w:tcW w:w="1180" w:type="dxa"/>
            <w:tcBorders>
              <w:top w:val="nil"/>
              <w:left w:val="single" w:sz="4" w:space="0" w:color="auto"/>
              <w:bottom w:val="single" w:sz="8" w:space="0" w:color="auto"/>
              <w:right w:val="nil"/>
            </w:tcBorders>
            <w:vAlign w:val="center"/>
            <w:hideMark/>
          </w:tcPr>
          <w:p w14:paraId="74481D25"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29,6 [26,1–33,1]</w:t>
            </w:r>
          </w:p>
        </w:tc>
        <w:tc>
          <w:tcPr>
            <w:tcW w:w="960" w:type="dxa"/>
            <w:tcBorders>
              <w:top w:val="nil"/>
              <w:left w:val="single" w:sz="8" w:space="0" w:color="auto"/>
              <w:bottom w:val="single" w:sz="8" w:space="0" w:color="auto"/>
              <w:right w:val="single" w:sz="4" w:space="0" w:color="auto"/>
            </w:tcBorders>
            <w:vAlign w:val="center"/>
            <w:hideMark/>
          </w:tcPr>
          <w:p w14:paraId="0D93012A"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w:t>
            </w:r>
          </w:p>
        </w:tc>
        <w:tc>
          <w:tcPr>
            <w:tcW w:w="960" w:type="dxa"/>
            <w:tcBorders>
              <w:top w:val="nil"/>
              <w:left w:val="nil"/>
              <w:bottom w:val="single" w:sz="8" w:space="0" w:color="auto"/>
              <w:right w:val="single" w:sz="4" w:space="0" w:color="auto"/>
            </w:tcBorders>
            <w:vAlign w:val="center"/>
            <w:hideMark/>
          </w:tcPr>
          <w:p w14:paraId="5BA07150"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0,217</w:t>
            </w:r>
          </w:p>
        </w:tc>
        <w:tc>
          <w:tcPr>
            <w:tcW w:w="960" w:type="dxa"/>
            <w:tcBorders>
              <w:top w:val="nil"/>
              <w:left w:val="single" w:sz="4" w:space="0" w:color="auto"/>
              <w:bottom w:val="single" w:sz="8" w:space="0" w:color="auto"/>
              <w:right w:val="single" w:sz="8" w:space="0" w:color="auto"/>
            </w:tcBorders>
            <w:vAlign w:val="center"/>
            <w:hideMark/>
          </w:tcPr>
          <w:p w14:paraId="3527E7B9" w14:textId="77777777" w:rsidR="00E60603" w:rsidRPr="00E60603" w:rsidRDefault="00E60603" w:rsidP="00132B2B">
            <w:pPr>
              <w:widowControl/>
              <w:autoSpaceDE/>
              <w:autoSpaceDN/>
              <w:jc w:val="both"/>
              <w:rPr>
                <w:rFonts w:asciiTheme="majorBidi" w:eastAsia="Calibri" w:hAnsiTheme="majorBidi" w:cstheme="majorBidi"/>
                <w:kern w:val="2"/>
                <w:sz w:val="20"/>
                <w:szCs w:val="20"/>
                <w:lang w:val="ru-RU"/>
                <w14:ligatures w14:val="standardContextual"/>
              </w:rPr>
            </w:pPr>
            <w:r w:rsidRPr="00E60603">
              <w:rPr>
                <w:rFonts w:asciiTheme="majorBidi" w:eastAsia="Calibri" w:hAnsiTheme="majorBidi" w:cstheme="majorBidi"/>
                <w:kern w:val="2"/>
                <w:sz w:val="20"/>
                <w:szCs w:val="20"/>
                <w:lang w:val="ru-RU"/>
                <w14:ligatures w14:val="standardContextual"/>
              </w:rPr>
              <w:t>0,298</w:t>
            </w:r>
          </w:p>
        </w:tc>
      </w:tr>
    </w:tbl>
    <w:p w14:paraId="36265C04"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p>
    <w:p w14:paraId="64A1B9C0" w14:textId="0B9CC148" w:rsidR="00F264E3" w:rsidRPr="00F264E3" w:rsidRDefault="00F264E3" w:rsidP="00132B2B">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Lipid cores. The most pronounced increase in frequency was found in the group with combined stenosis—45.8%, compared to 15.4% in the group without stenosis (p &lt; 0.001). A lipid core is a sign of high thrombogenicity and a marker of plaque rupture susceptibility.</w:t>
      </w:r>
      <w:r w:rsidR="00132B2B">
        <w:rPr>
          <w:rFonts w:asciiTheme="majorBidi" w:eastAsia="Calibri" w:hAnsiTheme="majorBidi" w:cstheme="majorBidi"/>
          <w:kern w:val="2"/>
          <w:sz w:val="20"/>
          <w:szCs w:val="20"/>
          <w14:ligatures w14:val="standardContextual"/>
        </w:rPr>
        <w:t xml:space="preserve"> </w:t>
      </w:r>
      <w:r w:rsidRPr="00F264E3">
        <w:rPr>
          <w:rFonts w:asciiTheme="majorBidi" w:eastAsia="Calibri" w:hAnsiTheme="majorBidi" w:cstheme="majorBidi"/>
          <w:kern w:val="2"/>
          <w:sz w:val="20"/>
          <w:szCs w:val="20"/>
          <w14:ligatures w14:val="standardContextual"/>
        </w:rPr>
        <w:t>Calcifications. The level of calcified plaques was relatively stable across all clinical groups: from 29.6% to 34.7%. No statistically significant differences were found (p &gt; 0.1), suggesting that calcification, unlike soft plaque components, does not correlate with the clinical severity of the lesion.</w:t>
      </w:r>
    </w:p>
    <w:p w14:paraId="692A609B" w14:textId="1CFA70EF" w:rsidR="00E60603" w:rsidRDefault="00F264E3" w:rsidP="00E6060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The frequency of unstable, ulcerative, and lipid-saturated plaques increases significantly with increasing severity of atherothrombotic lesions in the ICA, especially in combined stenosis. These morphological features are closely associated with a high risk of cerebral embolism and ischemic stroke. Significant differences between groups confirm that plaque morphological characteristics, not just the degree of stenosis, have diagnostic and prognostic value. These data highlight the need to incorporate plaque morphological analysis (e.g., using high-frequency ultrasound or CT angiography) into the comprehensive vascular risk assessment protocol for patients with ICA lesions.</w:t>
      </w:r>
    </w:p>
    <w:p w14:paraId="16DE715B" w14:textId="77777777" w:rsidR="00F264E3" w:rsidRPr="00E60603" w:rsidRDefault="00F264E3" w:rsidP="00132B2B">
      <w:pPr>
        <w:widowControl/>
        <w:autoSpaceDE/>
        <w:autoSpaceDN/>
        <w:jc w:val="both"/>
        <w:rPr>
          <w:rFonts w:asciiTheme="majorBidi" w:eastAsia="Calibri" w:hAnsiTheme="majorBidi" w:cstheme="majorBidi"/>
          <w:b/>
          <w:bCs/>
          <w:kern w:val="2"/>
          <w:sz w:val="20"/>
          <w:szCs w:val="20"/>
          <w14:ligatures w14:val="standardContextual"/>
        </w:rPr>
      </w:pPr>
      <w:r w:rsidRPr="00E60603">
        <w:rPr>
          <w:rFonts w:asciiTheme="majorBidi" w:eastAsia="Calibri" w:hAnsiTheme="majorBidi" w:cstheme="majorBidi"/>
          <w:b/>
          <w:bCs/>
          <w:kern w:val="2"/>
          <w:sz w:val="20"/>
          <w:szCs w:val="20"/>
          <w14:ligatures w14:val="standardContextual"/>
        </w:rPr>
        <w:t>Conclusions</w:t>
      </w:r>
    </w:p>
    <w:p w14:paraId="6EAF7E0E"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 xml:space="preserve">1. Atherothrombotic lesions of extracranial arteries are associated with significant hemodynamic disturbances, manifested by decreased cerebrovascular reserve (CVR), cerebral blood flow (CBF, CBV), and prolonged delayed perfusion parameters (MTT, </w:t>
      </w:r>
      <w:proofErr w:type="spellStart"/>
      <w:r w:rsidRPr="00F264E3">
        <w:rPr>
          <w:rFonts w:asciiTheme="majorBidi" w:eastAsia="Calibri" w:hAnsiTheme="majorBidi" w:cstheme="majorBidi"/>
          <w:kern w:val="2"/>
          <w:sz w:val="20"/>
          <w:szCs w:val="20"/>
          <w14:ligatures w14:val="standardContextual"/>
        </w:rPr>
        <w:t>Tmax</w:t>
      </w:r>
      <w:proofErr w:type="spellEnd"/>
      <w:r w:rsidRPr="00F264E3">
        <w:rPr>
          <w:rFonts w:asciiTheme="majorBidi" w:eastAsia="Calibri" w:hAnsiTheme="majorBidi" w:cstheme="majorBidi"/>
          <w:kern w:val="2"/>
          <w:sz w:val="20"/>
          <w:szCs w:val="20"/>
          <w14:ligatures w14:val="standardContextual"/>
        </w:rPr>
        <w:t>). These changes become more pronounced with the transition from unilateral to bilateral stenosis and combined lesions of the ICA and VA.</w:t>
      </w:r>
    </w:p>
    <w:p w14:paraId="5D83E2A9"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2. The degree of vascular stenosis significantly correlates with the severity of hemodynamic disturbances. The highest proportion of hemodynamically significant stenoses (70–99%) is observed in patients with combined lesions of the ICA and VA.</w:t>
      </w:r>
    </w:p>
    <w:p w14:paraId="279B45BD"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3. The morphological structure of plaques has important prognostic significance: with increasing stenosis severity, the frequency of unstable, ulcerative, and lipid-saturated plaques increases, reflecting a high risk of thromboembolic complications and ischemic stroke.</w:t>
      </w:r>
    </w:p>
    <w:p w14:paraId="0ACF1D0F"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4. Calcified plaques occur with comparable frequency in all groups and are not directly related to stenosis severity, indicating their lower prognostic significance compared to soft plaque components.</w:t>
      </w:r>
    </w:p>
    <w:p w14:paraId="469A812B" w14:textId="77777777" w:rsidR="00F264E3" w:rsidRPr="00F264E3" w:rsidRDefault="00F264E3" w:rsidP="00F264E3">
      <w:pPr>
        <w:widowControl/>
        <w:autoSpaceDE/>
        <w:autoSpaceDN/>
        <w:spacing w:after="160"/>
        <w:jc w:val="both"/>
        <w:rPr>
          <w:rFonts w:asciiTheme="majorBidi" w:eastAsia="Calibri" w:hAnsiTheme="majorBidi" w:cstheme="majorBidi"/>
          <w:kern w:val="2"/>
          <w:sz w:val="20"/>
          <w:szCs w:val="20"/>
          <w14:ligatures w14:val="standardContextual"/>
        </w:rPr>
      </w:pPr>
      <w:r w:rsidRPr="00F264E3">
        <w:rPr>
          <w:rFonts w:asciiTheme="majorBidi" w:eastAsia="Calibri" w:hAnsiTheme="majorBidi" w:cstheme="majorBidi"/>
          <w:kern w:val="2"/>
          <w:sz w:val="20"/>
          <w:szCs w:val="20"/>
          <w14:ligatures w14:val="standardContextual"/>
        </w:rPr>
        <w:t>5. A comprehensive assessment of hemodynamic parameters and morphological characteristics of plaques is an important risk stratification tool and should be used to determine patient management strategies, including the timing of surgical intervention and optimization of preventive measures.</w:t>
      </w:r>
    </w:p>
    <w:p w14:paraId="0F37BD6D" w14:textId="77777777" w:rsidR="00F264E3" w:rsidRPr="00E60603" w:rsidRDefault="00F264E3" w:rsidP="00F264E3">
      <w:pPr>
        <w:widowControl/>
        <w:autoSpaceDE/>
        <w:autoSpaceDN/>
        <w:spacing w:after="160"/>
        <w:jc w:val="both"/>
        <w:rPr>
          <w:rFonts w:asciiTheme="majorBidi" w:eastAsia="Calibri" w:hAnsiTheme="majorBidi" w:cstheme="majorBidi"/>
          <w:b/>
          <w:bCs/>
          <w:kern w:val="2"/>
          <w:sz w:val="20"/>
          <w:szCs w:val="20"/>
          <w14:ligatures w14:val="standardContextual"/>
        </w:rPr>
      </w:pPr>
      <w:r w:rsidRPr="00E60603">
        <w:rPr>
          <w:rFonts w:asciiTheme="majorBidi" w:eastAsia="Calibri" w:hAnsiTheme="majorBidi" w:cstheme="majorBidi"/>
          <w:b/>
          <w:bCs/>
          <w:kern w:val="2"/>
          <w:sz w:val="20"/>
          <w:szCs w:val="20"/>
          <w14:ligatures w14:val="standardContextual"/>
        </w:rPr>
        <w:t>REFERENCES</w:t>
      </w:r>
    </w:p>
    <w:p w14:paraId="686ABA03" w14:textId="4456224D"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Feigin V.L., et al. Global, regional, and national burden of stroke and its risk factors, 1990–2019: a systematic analysis. Lancet Neurol. 2021;20(10):795–820.</w:t>
      </w:r>
    </w:p>
    <w:p w14:paraId="616F06DD" w14:textId="456B6359"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Campbell B.C.V., et al. Stroke. Lancet. 2019;393(10169):1203–1212.</w:t>
      </w:r>
    </w:p>
    <w:p w14:paraId="7B673D33" w14:textId="6628DE26"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Abbott A.L., et al. Systematic review of guidelines for the management of asymptomatic and symptomatic carotid stenosis. Stroke. 2015;46(11):3288–3301.</w:t>
      </w:r>
    </w:p>
    <w:p w14:paraId="42A3C377" w14:textId="172C8082"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 xml:space="preserve">Spence J.D. Management of asymptomatic carotid stenosis. Neurol Clin </w:t>
      </w:r>
      <w:proofErr w:type="spellStart"/>
      <w:r w:rsidRPr="00132B2B">
        <w:rPr>
          <w:rFonts w:asciiTheme="majorBidi" w:eastAsia="Calibri" w:hAnsiTheme="majorBidi" w:cstheme="majorBidi"/>
          <w:kern w:val="2"/>
          <w:sz w:val="20"/>
          <w:szCs w:val="20"/>
          <w14:ligatures w14:val="standardContextual"/>
        </w:rPr>
        <w:t>Pract</w:t>
      </w:r>
      <w:proofErr w:type="spellEnd"/>
      <w:r w:rsidRPr="00132B2B">
        <w:rPr>
          <w:rFonts w:asciiTheme="majorBidi" w:eastAsia="Calibri" w:hAnsiTheme="majorBidi" w:cstheme="majorBidi"/>
          <w:kern w:val="2"/>
          <w:sz w:val="20"/>
          <w:szCs w:val="20"/>
          <w14:ligatures w14:val="standardContextual"/>
        </w:rPr>
        <w:t>. 2016;6(3):252–261.</w:t>
      </w:r>
    </w:p>
    <w:p w14:paraId="1F8E827A" w14:textId="1F550902"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Reinhard M., et al. Cerebrovascular reactivity predicts stroke in high-grade carotid artery disease. Neurology. 2014;83(15):1424–1431.</w:t>
      </w:r>
    </w:p>
    <w:p w14:paraId="3930386B" w14:textId="7CEB665D"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Liu X., et al. Perfusion imaging for ischemic stroke: a review of MRI-based perfusion techniques. Quant Imaging Med Surg. 2020;10(3):791–807.</w:t>
      </w:r>
    </w:p>
    <w:p w14:paraId="09F14042" w14:textId="34715F55"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 xml:space="preserve">Gupta A., et al. MRI of carotid plaque composition and surface morphology in symptomatic patients with mild to moderate carotid stenosis. AJNR Am J </w:t>
      </w:r>
      <w:proofErr w:type="spellStart"/>
      <w:r w:rsidRPr="00132B2B">
        <w:rPr>
          <w:rFonts w:asciiTheme="majorBidi" w:eastAsia="Calibri" w:hAnsiTheme="majorBidi" w:cstheme="majorBidi"/>
          <w:kern w:val="2"/>
          <w:sz w:val="20"/>
          <w:szCs w:val="20"/>
          <w14:ligatures w14:val="standardContextual"/>
        </w:rPr>
        <w:t>Neuroradiol</w:t>
      </w:r>
      <w:proofErr w:type="spellEnd"/>
      <w:r w:rsidRPr="00132B2B">
        <w:rPr>
          <w:rFonts w:asciiTheme="majorBidi" w:eastAsia="Calibri" w:hAnsiTheme="majorBidi" w:cstheme="majorBidi"/>
          <w:kern w:val="2"/>
          <w:sz w:val="20"/>
          <w:szCs w:val="20"/>
          <w14:ligatures w14:val="standardContextual"/>
        </w:rPr>
        <w:t>. 2015;36(4):762–768.</w:t>
      </w:r>
    </w:p>
    <w:p w14:paraId="073AE039" w14:textId="7D681813"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 xml:space="preserve">K. Geetha, &amp; Vaduganathan D. (2025). AI-Driven Multi-Omics Integration for Precision Medicine: Linking Genomic, Proteomic, and Clinical Data for Improved Healthcare Outcomes. Frontiers in Life Sciences Research, 10–15. </w:t>
      </w:r>
    </w:p>
    <w:p w14:paraId="78B89FAE" w14:textId="485C78C3"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 xml:space="preserve">Underhill H.R., et al. MRI of carotid atherosclerosis: clinical implications and future directions. Nat Rev </w:t>
      </w:r>
      <w:proofErr w:type="spellStart"/>
      <w:r w:rsidRPr="00132B2B">
        <w:rPr>
          <w:rFonts w:asciiTheme="majorBidi" w:eastAsia="Calibri" w:hAnsiTheme="majorBidi" w:cstheme="majorBidi"/>
          <w:kern w:val="2"/>
          <w:sz w:val="20"/>
          <w:szCs w:val="20"/>
          <w14:ligatures w14:val="standardContextual"/>
        </w:rPr>
        <w:t>Cardiol</w:t>
      </w:r>
      <w:proofErr w:type="spellEnd"/>
      <w:r w:rsidRPr="00132B2B">
        <w:rPr>
          <w:rFonts w:asciiTheme="majorBidi" w:eastAsia="Calibri" w:hAnsiTheme="majorBidi" w:cstheme="majorBidi"/>
          <w:kern w:val="2"/>
          <w:sz w:val="20"/>
          <w:szCs w:val="20"/>
          <w14:ligatures w14:val="standardContextual"/>
        </w:rPr>
        <w:t>. 2015;12(12):822–836.</w:t>
      </w:r>
    </w:p>
    <w:p w14:paraId="5DD2C028" w14:textId="05B6C67E" w:rsidR="00F264E3"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 xml:space="preserve">Saba L., et al. Imaging of the carotid artery vulnerable plaque. Cardiovasc </w:t>
      </w:r>
      <w:proofErr w:type="spellStart"/>
      <w:r w:rsidRPr="00132B2B">
        <w:rPr>
          <w:rFonts w:asciiTheme="majorBidi" w:eastAsia="Calibri" w:hAnsiTheme="majorBidi" w:cstheme="majorBidi"/>
          <w:kern w:val="2"/>
          <w:sz w:val="20"/>
          <w:szCs w:val="20"/>
          <w14:ligatures w14:val="standardContextual"/>
        </w:rPr>
        <w:t>Diagn</w:t>
      </w:r>
      <w:proofErr w:type="spellEnd"/>
      <w:r w:rsidRPr="00132B2B">
        <w:rPr>
          <w:rFonts w:asciiTheme="majorBidi" w:eastAsia="Calibri" w:hAnsiTheme="majorBidi" w:cstheme="majorBidi"/>
          <w:kern w:val="2"/>
          <w:sz w:val="20"/>
          <w:szCs w:val="20"/>
          <w14:ligatures w14:val="standardContextual"/>
        </w:rPr>
        <w:t xml:space="preserve"> Ther. 2021;11(6):1655–1674.</w:t>
      </w:r>
    </w:p>
    <w:p w14:paraId="3CA4B9B4" w14:textId="0271E462" w:rsidR="000931CF" w:rsidRPr="00132B2B" w:rsidRDefault="00F264E3" w:rsidP="00132B2B">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132B2B">
        <w:rPr>
          <w:rFonts w:asciiTheme="majorBidi" w:eastAsia="Calibri" w:hAnsiTheme="majorBidi" w:cstheme="majorBidi"/>
          <w:kern w:val="2"/>
          <w:sz w:val="20"/>
          <w:szCs w:val="20"/>
          <w14:ligatures w14:val="standardContextual"/>
        </w:rPr>
        <w:t>Saam T., et al. The vulnerable carotid plaque: clinical imaging and risk assessment. Radiology. 2022;305(1):46–61.</w:t>
      </w:r>
    </w:p>
    <w:p w14:paraId="6AA9AFFF" w14:textId="1AF2D8CC" w:rsidR="008217E7" w:rsidRPr="000931CF" w:rsidRDefault="008217E7" w:rsidP="00132B2B">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13"/>
      <w:footerReference w:type="default" r:id="rId1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AE6D0" w14:textId="77777777" w:rsidR="00EA296D" w:rsidRDefault="00EA296D">
      <w:r>
        <w:separator/>
      </w:r>
    </w:p>
  </w:endnote>
  <w:endnote w:type="continuationSeparator" w:id="0">
    <w:p w14:paraId="7CCC2995" w14:textId="77777777" w:rsidR="00EA296D" w:rsidRDefault="00EA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1EDF2" w14:textId="77777777" w:rsidR="00EA296D" w:rsidRDefault="00EA296D">
      <w:r>
        <w:separator/>
      </w:r>
    </w:p>
  </w:footnote>
  <w:footnote w:type="continuationSeparator" w:id="0">
    <w:p w14:paraId="5F084A67" w14:textId="77777777" w:rsidR="00EA296D" w:rsidRDefault="00EA2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0865BD"/>
    <w:multiLevelType w:val="hybridMultilevel"/>
    <w:tmpl w:val="AAE0FA2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6"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73439F"/>
    <w:multiLevelType w:val="hybridMultilevel"/>
    <w:tmpl w:val="1B9ED0E4"/>
    <w:lvl w:ilvl="0" w:tplc="D24898E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04734691">
    <w:abstractNumId w:val="27"/>
  </w:num>
  <w:num w:numId="2" w16cid:durableId="1689988927">
    <w:abstractNumId w:val="28"/>
  </w:num>
  <w:num w:numId="3" w16cid:durableId="1285038656">
    <w:abstractNumId w:val="15"/>
  </w:num>
  <w:num w:numId="4" w16cid:durableId="1227497954">
    <w:abstractNumId w:val="0"/>
  </w:num>
  <w:num w:numId="5" w16cid:durableId="1458646580">
    <w:abstractNumId w:val="1"/>
  </w:num>
  <w:num w:numId="6" w16cid:durableId="349526111">
    <w:abstractNumId w:val="26"/>
  </w:num>
  <w:num w:numId="7" w16cid:durableId="1438871343">
    <w:abstractNumId w:val="8"/>
  </w:num>
  <w:num w:numId="8" w16cid:durableId="951085640">
    <w:abstractNumId w:val="16"/>
  </w:num>
  <w:num w:numId="9" w16cid:durableId="1636831325">
    <w:abstractNumId w:val="4"/>
  </w:num>
  <w:num w:numId="10" w16cid:durableId="392044689">
    <w:abstractNumId w:val="24"/>
  </w:num>
  <w:num w:numId="11" w16cid:durableId="1519466240">
    <w:abstractNumId w:val="13"/>
  </w:num>
  <w:num w:numId="12" w16cid:durableId="342367132">
    <w:abstractNumId w:val="11"/>
  </w:num>
  <w:num w:numId="13" w16cid:durableId="1139028891">
    <w:abstractNumId w:val="20"/>
  </w:num>
  <w:num w:numId="14" w16cid:durableId="1613584171">
    <w:abstractNumId w:val="6"/>
  </w:num>
  <w:num w:numId="15" w16cid:durableId="1740250810">
    <w:abstractNumId w:val="23"/>
  </w:num>
  <w:num w:numId="16" w16cid:durableId="718476156">
    <w:abstractNumId w:val="5"/>
  </w:num>
  <w:num w:numId="17" w16cid:durableId="1000617243">
    <w:abstractNumId w:val="17"/>
  </w:num>
  <w:num w:numId="18" w16cid:durableId="1500922282">
    <w:abstractNumId w:val="9"/>
  </w:num>
  <w:num w:numId="19" w16cid:durableId="1136794391">
    <w:abstractNumId w:val="18"/>
  </w:num>
  <w:num w:numId="20" w16cid:durableId="458570639">
    <w:abstractNumId w:val="29"/>
  </w:num>
  <w:num w:numId="21" w16cid:durableId="1811357517">
    <w:abstractNumId w:val="7"/>
  </w:num>
  <w:num w:numId="22" w16cid:durableId="1682318461">
    <w:abstractNumId w:val="2"/>
  </w:num>
  <w:num w:numId="23" w16cid:durableId="1479956106">
    <w:abstractNumId w:val="12"/>
  </w:num>
  <w:num w:numId="24" w16cid:durableId="719593242">
    <w:abstractNumId w:val="22"/>
  </w:num>
  <w:num w:numId="25" w16cid:durableId="1098212792">
    <w:abstractNumId w:val="3"/>
  </w:num>
  <w:num w:numId="26" w16cid:durableId="689798651">
    <w:abstractNumId w:val="19"/>
  </w:num>
  <w:num w:numId="27" w16cid:durableId="676157387">
    <w:abstractNumId w:val="21"/>
  </w:num>
  <w:num w:numId="28" w16cid:durableId="1301038040">
    <w:abstractNumId w:val="14"/>
  </w:num>
  <w:num w:numId="29" w16cid:durableId="2047027214">
    <w:abstractNumId w:val="25"/>
  </w:num>
  <w:num w:numId="30" w16cid:durableId="559751293">
    <w:abstractNumId w:val="10"/>
  </w:num>
  <w:num w:numId="31" w16cid:durableId="181706562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32B2B"/>
    <w:rsid w:val="00145B22"/>
    <w:rsid w:val="001E6ED3"/>
    <w:rsid w:val="001F662E"/>
    <w:rsid w:val="00215E84"/>
    <w:rsid w:val="00223A3F"/>
    <w:rsid w:val="00263A35"/>
    <w:rsid w:val="00265075"/>
    <w:rsid w:val="003C1747"/>
    <w:rsid w:val="003E4C8A"/>
    <w:rsid w:val="00446E9E"/>
    <w:rsid w:val="004A7233"/>
    <w:rsid w:val="005477C2"/>
    <w:rsid w:val="005A54BE"/>
    <w:rsid w:val="006A7F5F"/>
    <w:rsid w:val="00727D32"/>
    <w:rsid w:val="007342C3"/>
    <w:rsid w:val="0073700D"/>
    <w:rsid w:val="00742995"/>
    <w:rsid w:val="00763128"/>
    <w:rsid w:val="007761C0"/>
    <w:rsid w:val="00781BF9"/>
    <w:rsid w:val="00792813"/>
    <w:rsid w:val="007D7F6B"/>
    <w:rsid w:val="008217E7"/>
    <w:rsid w:val="008439E3"/>
    <w:rsid w:val="0086758A"/>
    <w:rsid w:val="009B7239"/>
    <w:rsid w:val="009D2417"/>
    <w:rsid w:val="009D45AD"/>
    <w:rsid w:val="009D53E5"/>
    <w:rsid w:val="00A77731"/>
    <w:rsid w:val="00AC65CD"/>
    <w:rsid w:val="00AE0BC3"/>
    <w:rsid w:val="00B40AB8"/>
    <w:rsid w:val="00B4108F"/>
    <w:rsid w:val="00C050BA"/>
    <w:rsid w:val="00C236B2"/>
    <w:rsid w:val="00C35EB5"/>
    <w:rsid w:val="00CD2E76"/>
    <w:rsid w:val="00CD6AD1"/>
    <w:rsid w:val="00CF007D"/>
    <w:rsid w:val="00D14B30"/>
    <w:rsid w:val="00D82F80"/>
    <w:rsid w:val="00E60603"/>
    <w:rsid w:val="00EA296D"/>
    <w:rsid w:val="00ED0FD7"/>
    <w:rsid w:val="00F21397"/>
    <w:rsid w:val="00F264E3"/>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uldashev@mai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1-4505-715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volashishlari@sammi.uz" TargetMode="External"/><Relationship Id="rId4" Type="http://schemas.openxmlformats.org/officeDocument/2006/relationships/settings" Target="settings.xml"/><Relationship Id="rId9" Type="http://schemas.openxmlformats.org/officeDocument/2006/relationships/hyperlink" Target="https://orcid.org/0009-0002-9238-776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3500</Words>
  <Characters>19954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2026-02-21T18:37:00Z</cp:lastPrinted>
  <dcterms:created xsi:type="dcterms:W3CDTF">2026-02-19T22:53:00Z</dcterms:created>
  <dcterms:modified xsi:type="dcterms:W3CDTF">2026-02-21T18:37:00Z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